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hint="eastAsia" w:asciiTheme="minorEastAsia" w:hAnsiTheme="minorEastAsia" w:eastAsiaTheme="minorEastAsia" w:cstheme="minorEastAsia"/>
          <w:kern w:val="0"/>
          <w:sz w:val="84"/>
          <w:szCs w:val="84"/>
        </w:rPr>
      </w:pPr>
      <w:r>
        <w:rPr>
          <w:rFonts w:hint="eastAsia" w:asciiTheme="minorEastAsia" w:hAnsiTheme="minorEastAsia" w:eastAsiaTheme="minorEastAsia" w:cstheme="minorEastAsia"/>
          <w:kern w:val="0"/>
          <w:sz w:val="84"/>
          <w:szCs w:val="84"/>
        </w:rPr>
        <w:t>谈 判 文 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院内传染病上报系统</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2020-JL13（03）-W30023</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w:t>
      </w:r>
      <w:r>
        <w:rPr>
          <w:rFonts w:ascii="宋体" w:hAnsi="宋体" w:eastAsia="宋体" w:cs="Times New Roman"/>
          <w:kern w:val="0"/>
          <w:sz w:val="36"/>
          <w:szCs w:val="36"/>
        </w:rPr>
        <w:t>月</w:t>
      </w:r>
    </w:p>
    <w:p>
      <w:pPr>
        <w:jc w:val="center"/>
        <w:rPr>
          <w:rFonts w:ascii="宋体" w:hAnsi="宋体" w:eastAsia="宋体" w:cs="Times New Roman"/>
          <w:kern w:val="0"/>
          <w:sz w:val="36"/>
          <w:szCs w:val="36"/>
        </w:rPr>
      </w:pP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4"/>
        <w:ind w:left="804"/>
        <w:rPr>
          <w:rFonts w:asciiTheme="minorHAnsi" w:hAnsiTheme="minorHAnsi" w:eastAsiaTheme="minorEastAsia" w:cstheme="minorBidi"/>
          <w:kern w:val="2"/>
          <w:sz w:val="21"/>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"_Toc43485651" </w:instrText>
      </w:r>
      <w:r>
        <w:fldChar w:fldCharType="separate"/>
      </w:r>
      <w:r>
        <w:rPr>
          <w:rStyle w:val="22"/>
          <w:rFonts w:hint="eastAsia" w:ascii="黑体" w:hAnsi="黑体" w:eastAsia="黑体"/>
        </w:rPr>
        <w:t>第一部分</w:t>
      </w:r>
      <w:r>
        <w:rPr>
          <w:rStyle w:val="22"/>
          <w:rFonts w:ascii="黑体" w:hAnsi="黑体" w:eastAsia="黑体"/>
        </w:rPr>
        <w:t xml:space="preserve">  </w:t>
      </w:r>
      <w:r>
        <w:rPr>
          <w:rStyle w:val="22"/>
          <w:rFonts w:hint="eastAsia" w:ascii="黑体" w:hAnsi="黑体" w:eastAsia="黑体"/>
        </w:rPr>
        <w:t>采购公告</w:t>
      </w:r>
      <w:r>
        <w:tab/>
      </w:r>
      <w:r>
        <w:fldChar w:fldCharType="begin"/>
      </w:r>
      <w:r>
        <w:instrText xml:space="preserve"> PAGEREF _Toc43485651 \h </w:instrText>
      </w:r>
      <w:r>
        <w:fldChar w:fldCharType="separate"/>
      </w:r>
      <w:r>
        <w:t>1</w:t>
      </w:r>
      <w:r>
        <w:fldChar w:fldCharType="end"/>
      </w:r>
      <w: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"_Toc43485652" </w:instrText>
      </w:r>
      <w:r>
        <w:fldChar w:fldCharType="separate"/>
      </w:r>
      <w:r>
        <w:rPr>
          <w:rStyle w:val="22"/>
          <w:rFonts w:hint="eastAsia" w:ascii="黑体" w:hAnsi="黑体" w:eastAsia="黑体"/>
          <w:lang w:val="zh-CN"/>
        </w:rPr>
        <w:t>第二部分</w:t>
      </w:r>
      <w:r>
        <w:rPr>
          <w:rStyle w:val="22"/>
          <w:rFonts w:ascii="黑体" w:hAnsi="黑体" w:eastAsia="黑体"/>
          <w:lang w:val="zh-CN"/>
        </w:rPr>
        <w:t xml:space="preserve">  </w:t>
      </w:r>
      <w:r>
        <w:rPr>
          <w:rStyle w:val="22"/>
          <w:rFonts w:hint="eastAsia" w:ascii="黑体" w:hAnsi="黑体" w:eastAsia="黑体"/>
          <w:lang w:val="zh-CN"/>
        </w:rPr>
        <w:t>采购项目技</w:t>
      </w:r>
      <w:r>
        <w:rPr>
          <w:rStyle w:val="22"/>
          <w:rFonts w:hint="eastAsia" w:ascii="黑体" w:hAnsi="黑体" w:eastAsia="黑体" w:cs="宋体"/>
          <w:lang w:val="zh-CN"/>
        </w:rPr>
        <w:t>术</w:t>
      </w:r>
      <w:r>
        <w:rPr>
          <w:rStyle w:val="22"/>
          <w:rFonts w:hint="eastAsia" w:ascii="黑体" w:hAnsi="黑体" w:eastAsia="黑体" w:cs="Dotum"/>
          <w:lang w:val="zh-CN"/>
        </w:rPr>
        <w:t>和商</w:t>
      </w:r>
      <w:r>
        <w:rPr>
          <w:rStyle w:val="22"/>
          <w:rFonts w:hint="eastAsia" w:ascii="黑体" w:hAnsi="黑体" w:eastAsia="黑体" w:cs="宋体"/>
          <w:lang w:val="zh-CN"/>
        </w:rPr>
        <w:t>务</w:t>
      </w:r>
      <w:r>
        <w:rPr>
          <w:rStyle w:val="22"/>
          <w:rFonts w:hint="eastAsia" w:ascii="黑体" w:hAnsi="黑体" w:eastAsia="黑体"/>
          <w:lang w:val="zh-CN"/>
        </w:rPr>
        <w:t>要求</w:t>
      </w:r>
      <w:r>
        <w:tab/>
      </w:r>
      <w:r>
        <w:fldChar w:fldCharType="begin"/>
      </w:r>
      <w:r>
        <w:instrText xml:space="preserve"> PAGEREF _Toc43485652 \h </w:instrText>
      </w:r>
      <w:r>
        <w:fldChar w:fldCharType="separate"/>
      </w:r>
      <w:r>
        <w:t>4</w:t>
      </w:r>
      <w:r>
        <w:fldChar w:fldCharType="end"/>
      </w:r>
      <w: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"_Toc43485653" </w:instrText>
      </w:r>
      <w:r>
        <w:fldChar w:fldCharType="separate"/>
      </w:r>
      <w:r>
        <w:rPr>
          <w:rStyle w:val="22"/>
          <w:rFonts w:hint="eastAsia" w:ascii="黑体" w:hAnsi="黑体" w:eastAsia="黑体"/>
        </w:rPr>
        <w:t>第三部分</w:t>
      </w:r>
      <w:r>
        <w:rPr>
          <w:rStyle w:val="22"/>
          <w:rFonts w:ascii="黑体" w:hAnsi="黑体" w:eastAsia="黑体"/>
        </w:rPr>
        <w:t xml:space="preserve">  </w:t>
      </w:r>
      <w:r>
        <w:rPr>
          <w:rStyle w:val="22"/>
          <w:rFonts w:hint="eastAsia" w:ascii="黑体" w:hAnsi="黑体" w:eastAsia="黑体"/>
          <w:lang w:val="zh-CN"/>
        </w:rPr>
        <w:t>报价方</w:t>
      </w:r>
      <w:r>
        <w:rPr>
          <w:rStyle w:val="22"/>
          <w:rFonts w:hint="eastAsia" w:ascii="黑体" w:hAnsi="黑体" w:eastAsia="黑体"/>
        </w:rPr>
        <w:t>须知</w:t>
      </w:r>
      <w:r>
        <w:tab/>
      </w:r>
      <w:r>
        <w:fldChar w:fldCharType="begin"/>
      </w:r>
      <w:r>
        <w:instrText xml:space="preserve"> PAGEREF _Toc43485653 \h </w:instrText>
      </w:r>
      <w:r>
        <w:fldChar w:fldCharType="separate"/>
      </w:r>
      <w:r>
        <w:t>6</w:t>
      </w:r>
      <w:r>
        <w:fldChar w:fldCharType="end"/>
      </w:r>
      <w: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"_Toc43485654" </w:instrText>
      </w:r>
      <w:r>
        <w:fldChar w:fldCharType="separate"/>
      </w:r>
      <w:r>
        <w:rPr>
          <w:rStyle w:val="22"/>
          <w:rFonts w:hint="eastAsia" w:ascii="黑体" w:hAnsi="黑体" w:eastAsia="黑体"/>
          <w:bCs/>
        </w:rPr>
        <w:t>第四部分</w:t>
      </w:r>
      <w:r>
        <w:rPr>
          <w:rStyle w:val="22"/>
          <w:rFonts w:ascii="黑体" w:hAnsi="黑体" w:eastAsia="黑体"/>
          <w:bCs/>
        </w:rPr>
        <w:t xml:space="preserve">  </w:t>
      </w:r>
      <w:r>
        <w:rPr>
          <w:rStyle w:val="22"/>
          <w:rFonts w:hint="eastAsia" w:ascii="黑体" w:hAnsi="黑体" w:eastAsia="黑体"/>
          <w:bCs/>
        </w:rPr>
        <w:t>合同样本</w:t>
      </w:r>
      <w:r>
        <w:tab/>
      </w:r>
      <w:r>
        <w:fldChar w:fldCharType="begin"/>
      </w:r>
      <w:r>
        <w:instrText xml:space="preserve"> PAGEREF _Toc43485654 \h </w:instrText>
      </w:r>
      <w:r>
        <w:fldChar w:fldCharType="separate"/>
      </w:r>
      <w:r>
        <w:t>29</w:t>
      </w:r>
      <w:r>
        <w:fldChar w:fldCharType="end"/>
      </w:r>
      <w: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"_Toc43485655" </w:instrText>
      </w:r>
      <w:r>
        <w:fldChar w:fldCharType="separate"/>
      </w:r>
      <w:r>
        <w:rPr>
          <w:rStyle w:val="22"/>
          <w:rFonts w:hint="eastAsia" w:ascii="黑体" w:hAnsi="黑体" w:eastAsia="黑体"/>
        </w:rPr>
        <w:t>第五部分</w:t>
      </w:r>
      <w:r>
        <w:rPr>
          <w:rStyle w:val="22"/>
          <w:rFonts w:ascii="黑体" w:hAnsi="黑体" w:eastAsia="黑体"/>
        </w:rPr>
        <w:t xml:space="preserve">  </w:t>
      </w:r>
      <w:r>
        <w:rPr>
          <w:rStyle w:val="22"/>
          <w:rFonts w:hint="eastAsia" w:ascii="黑体" w:hAnsi="黑体" w:eastAsia="黑体"/>
        </w:rPr>
        <w:t>附件</w:t>
      </w:r>
      <w:r>
        <w:rPr>
          <w:rStyle w:val="22"/>
          <w:rFonts w:ascii="黑体" w:hAnsi="黑体" w:eastAsia="黑体"/>
        </w:rPr>
        <w:t>/</w:t>
      </w:r>
      <w:r>
        <w:rPr>
          <w:rStyle w:val="22"/>
          <w:rFonts w:hint="eastAsia" w:ascii="黑体" w:hAnsi="黑体" w:eastAsia="黑体"/>
        </w:rPr>
        <w:t>报价文件格式</w:t>
      </w:r>
      <w:r>
        <w:tab/>
      </w:r>
      <w:r>
        <w:fldChar w:fldCharType="begin"/>
      </w:r>
      <w:r>
        <w:instrText xml:space="preserve"> PAGEREF _Toc43485655 \h </w:instrText>
      </w:r>
      <w:r>
        <w:fldChar w:fldCharType="separate"/>
      </w:r>
      <w:r>
        <w:t>34</w:t>
      </w:r>
      <w:r>
        <w:fldChar w:fldCharType="end"/>
      </w:r>
      <w: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579"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43485651"/>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Tahoma" w:hAnsi="Tahoma" w:cs="Tahoma"/>
          <w:b/>
          <w:bCs/>
          <w:kern w:val="0"/>
          <w:sz w:val="28"/>
          <w:szCs w:val="28"/>
        </w:rPr>
        <w:t>关于院内传染病上报系统的采购</w:t>
      </w:r>
      <w:r>
        <w:rPr>
          <w:rFonts w:ascii="Tahoma" w:hAnsi="Tahoma" w:cs="Tahoma"/>
          <w:b/>
          <w:bCs/>
          <w:kern w:val="0"/>
          <w:sz w:val="28"/>
          <w:szCs w:val="28"/>
        </w:rPr>
        <w:t>公告</w:t>
      </w:r>
      <w:r>
        <w:rPr>
          <w:rFonts w:hint="eastAsia" w:ascii="Tahoma" w:hAnsi="Tahoma" w:cs="Tahoma"/>
          <w:kern w:val="0"/>
          <w:sz w:val="28"/>
          <w:szCs w:val="28"/>
        </w:rPr>
        <w:t>2020-JL13（03）-W30023</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院内传染病上报系统</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2020-JL13（03）-W30023</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860"/>
        <w:gridCol w:w="709"/>
        <w:gridCol w:w="1559"/>
        <w:gridCol w:w="709"/>
        <w:gridCol w:w="643"/>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规格</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技术</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计量</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单位</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交货</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交货</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kern w:val="0"/>
                <w:sz w:val="24"/>
                <w:szCs w:val="24"/>
              </w:rPr>
              <w:t>院内传染病上报系统</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kern w:val="0"/>
                <w:sz w:val="24"/>
                <w:szCs w:val="24"/>
              </w:rPr>
              <w:t>详见谈判文件附件21</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项</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cs="Times New Roman" w:asciiTheme="minorEastAsia" w:hAnsiTheme="minorEastAsia"/>
                <w:szCs w:val="21"/>
              </w:rPr>
              <w:t>合同签订后30个日历日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预算</w:t>
            </w:r>
          </w:p>
        </w:tc>
        <w:tc>
          <w:tcPr>
            <w:tcW w:w="8260"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宋体" w:hAnsi="宋体" w:eastAsia="宋体" w:cs="Times New Roman"/>
                <w:sz w:val="24"/>
                <w:szCs w:val="24"/>
              </w:rPr>
            </w:pPr>
            <w:r>
              <w:rPr>
                <w:rFonts w:hint="eastAsia" w:ascii="宋体" w:hAnsi="宋体" w:eastAsia="宋体" w:cs="Times New Roman"/>
                <w:sz w:val="24"/>
                <w:szCs w:val="24"/>
              </w:rPr>
              <w:t>¥200,000.00元整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napToGrid w:val="0"/>
                <w:kern w:val="0"/>
                <w:sz w:val="24"/>
                <w:szCs w:val="24"/>
              </w:rPr>
              <w:t>说明</w:t>
            </w:r>
          </w:p>
        </w:tc>
        <w:tc>
          <w:tcPr>
            <w:tcW w:w="8260"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sz w:val="24"/>
                <w:szCs w:val="24"/>
              </w:rPr>
            </w:pPr>
            <w:r>
              <w:rPr>
                <w:rFonts w:ascii="宋体" w:hAnsi="宋体" w:eastAsia="宋体" w:cs="Times New Roman"/>
                <w:kern w:val="0"/>
                <w:sz w:val="24"/>
                <w:szCs w:val="24"/>
              </w:rPr>
              <w:t>1.</w:t>
            </w:r>
            <w:r>
              <w:rPr>
                <w:rFonts w:hint="eastAsia" w:ascii="宋体" w:hAnsi="宋体"/>
              </w:rPr>
              <w:t xml:space="preserve"> 报价应包括所有货物供应、运输、安装、培训、售后服务等价格。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2020 </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10 </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28</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11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4</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w:t>
      </w:r>
      <w:r>
        <w:rPr>
          <w:rFonts w:hint="eastAsia" w:ascii="宋体" w:hAnsi="宋体" w:eastAsia="宋体" w:cs="Times New Roman"/>
          <w:kern w:val="0"/>
          <w:sz w:val="24"/>
          <w:szCs w:val="24"/>
          <w:lang w:val="en-US" w:eastAsia="zh-CN"/>
        </w:rPr>
        <w:t>4</w:t>
      </w:r>
      <w:r>
        <w:rPr>
          <w:rFonts w:hint="eastAsia" w:ascii="宋体" w:hAnsi="宋体" w:eastAsia="宋体" w:cs="Times New Roman"/>
          <w:kern w:val="0"/>
          <w:sz w:val="24"/>
          <w:szCs w:val="24"/>
        </w:rPr>
        <w:t>:</w:t>
      </w:r>
      <w:r>
        <w:rPr>
          <w:rFonts w:hint="eastAsia" w:ascii="宋体" w:hAnsi="宋体" w:eastAsia="宋体" w:cs="Times New Roman"/>
          <w:kern w:val="0"/>
          <w:sz w:val="24"/>
          <w:szCs w:val="24"/>
          <w:lang w:val="en-US" w:eastAsia="zh-CN"/>
        </w:rPr>
        <w:t>3</w:t>
      </w:r>
      <w:r>
        <w:rPr>
          <w:rFonts w:hint="eastAsia" w:ascii="宋体" w:hAnsi="宋体" w:eastAsia="宋体" w:cs="Times New Roman"/>
          <w:kern w:val="0"/>
          <w:sz w:val="24"/>
          <w:szCs w:val="24"/>
        </w:rPr>
        <w:t>0—17:30）（北京时间、节假日除外）。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bookmarkStart w:id="41" w:name="_GoBack"/>
      <w:bookmarkEnd w:id="41"/>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良好的商业信誉和健全的财务会计制度证明材料：会计师事务所出具的近3年（不足3年以成立日期起算）审计报告主要内容或公司财务报表，至少应包括资产负债表、利润表及现金流量表；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 院内传染病上报系统生产企业营业执照（进口产品需提供国内总代理营业执照）；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w:t>
      </w:r>
      <w:r>
        <w:rPr>
          <w:rFonts w:hint="eastAsia"/>
        </w:rPr>
        <w:t xml:space="preserve"> </w:t>
      </w:r>
      <w:r>
        <w:rPr>
          <w:rFonts w:hint="eastAsia" w:cs="Times New Roman" w:asciiTheme="minorEastAsia" w:hAnsiTheme="minorEastAsia"/>
          <w:kern w:val="0"/>
          <w:sz w:val="24"/>
          <w:szCs w:val="24"/>
        </w:rPr>
        <w:t>院内传染病上报系统生产企业对代理公司参与报价的授权书（进口产品需提供原产厂家对中国总代的中英文授权书复印件或同步翻译件）。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院内传染病上报系统软件著作权</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w:t>
      </w:r>
      <w:r>
        <w:rPr>
          <w:rFonts w:hint="eastAsia" w:ascii="宋体" w:hAnsi="宋体" w:eastAsia="宋体" w:cs="Times New Roman"/>
          <w:kern w:val="0"/>
          <w:sz w:val="24"/>
          <w:szCs w:val="24"/>
          <w:lang w:val="en-US" w:eastAsia="zh-CN"/>
        </w:rPr>
        <w:t>200</w:t>
      </w:r>
      <w:r>
        <w:rPr>
          <w:rFonts w:hint="eastAsia" w:ascii="宋体" w:hAnsi="宋体" w:eastAsia="宋体" w:cs="Times New Roman"/>
          <w:kern w:val="0"/>
          <w:sz w:val="24"/>
          <w:szCs w:val="24"/>
        </w:rPr>
        <w:t>/元/份，售后不退。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2"/>
          <w:rFonts w:asciiTheme="minorEastAsia" w:hAnsiTheme="minorEastAsia"/>
          <w:b/>
          <w:color w:val="auto"/>
          <w:kern w:val="0"/>
          <w:sz w:val="24"/>
          <w:szCs w:val="24"/>
          <w:u w:val="none"/>
        </w:rPr>
        <w:t>www.zhaobiao.cn</w:t>
      </w:r>
      <w:r>
        <w:rPr>
          <w:rStyle w:val="22"/>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陈老师、姚老师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023-6876615</w:t>
      </w:r>
      <w:r>
        <w:rPr>
          <w:rFonts w:hint="eastAsia" w:cs="Times New Roman" w:asciiTheme="minorEastAsia" w:hAnsiTheme="minorEastAsia"/>
          <w:kern w:val="0"/>
          <w:sz w:val="24"/>
          <w:szCs w:val="24"/>
          <w:u w:val="single"/>
          <w:lang w:val="en-US" w:eastAsia="zh-CN"/>
        </w:rPr>
        <w:t>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p>
    <w:p>
      <w:pPr>
        <w:spacing w:after="289"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43485652"/>
      <w:bookmarkStart w:id="5" w:name="_Toc390713967"/>
      <w:bookmarkStart w:id="6" w:name="_Toc285612594"/>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8"/>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包号</w:t>
            </w:r>
          </w:p>
        </w:tc>
        <w:tc>
          <w:tcPr>
            <w:tcW w:w="198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物资名称</w:t>
            </w:r>
          </w:p>
        </w:tc>
        <w:tc>
          <w:tcPr>
            <w:tcW w:w="8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规格型号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hint="eastAsia" w:cs="Times New Roman" w:asciiTheme="minorEastAsia" w:hAnsiTheme="minorEastAsia"/>
                <w:kern w:val="0"/>
                <w:sz w:val="24"/>
                <w:szCs w:val="24"/>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计量</w:t>
            </w:r>
          </w:p>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单位</w:t>
            </w:r>
          </w:p>
        </w:tc>
        <w:tc>
          <w:tcPr>
            <w:tcW w:w="8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数量</w:t>
            </w:r>
          </w:p>
        </w:tc>
        <w:tc>
          <w:tcPr>
            <w:tcW w:w="827"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备注</w:t>
            </w:r>
          </w:p>
        </w:tc>
      </w:tr>
      <w:tr>
        <w:tblPrEx>
          <w:tblCellMar>
            <w:top w:w="0" w:type="dxa"/>
            <w:left w:w="108" w:type="dxa"/>
            <w:bottom w:w="0" w:type="dxa"/>
            <w:right w:w="108" w:type="dxa"/>
          </w:tblCellMar>
        </w:tblPrEx>
        <w:trPr>
          <w:trHeight w:val="680"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988"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院内传染病上报系统</w:t>
            </w:r>
          </w:p>
        </w:tc>
        <w:tc>
          <w:tcPr>
            <w:tcW w:w="85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w:t>
            </w:r>
          </w:p>
        </w:tc>
        <w:tc>
          <w:tcPr>
            <w:tcW w:w="2768" w:type="dxa"/>
            <w:tcBorders>
              <w:top w:val="single" w:color="auto" w:sz="4" w:space="0"/>
              <w:left w:val="single" w:color="auto" w:sz="4" w:space="0"/>
              <w:bottom w:val="single" w:color="auto" w:sz="4" w:space="0"/>
              <w:right w:val="single" w:color="auto" w:sz="4" w:space="0"/>
            </w:tcBorders>
            <w:vAlign w:val="center"/>
          </w:tcPr>
          <w:p>
            <w:pPr>
              <w:spacing w:line="360" w:lineRule="exact"/>
              <w:ind w:firstLine="227" w:firstLineChars="98"/>
              <w:jc w:val="left"/>
              <w:rPr>
                <w:rFonts w:ascii="宋体" w:hAnsi="宋体" w:eastAsia="宋体" w:cs="Times New Roman"/>
                <w:kern w:val="0"/>
                <w:sz w:val="24"/>
                <w:szCs w:val="24"/>
              </w:rPr>
            </w:pPr>
            <w:r>
              <w:rPr>
                <w:rFonts w:hint="eastAsia" w:ascii="宋体" w:hAnsi="宋体" w:eastAsia="宋体" w:cs="Times New Roman"/>
                <w:kern w:val="0"/>
                <w:sz w:val="24"/>
                <w:szCs w:val="24"/>
              </w:rPr>
              <w:t>详见谈判文件附件21</w:t>
            </w:r>
          </w:p>
        </w:tc>
        <w:tc>
          <w:tcPr>
            <w:tcW w:w="962"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项</w:t>
            </w:r>
          </w:p>
        </w:tc>
        <w:tc>
          <w:tcPr>
            <w:tcW w:w="851" w:type="dxa"/>
            <w:tcBorders>
              <w:top w:val="single" w:color="auto" w:sz="4" w:space="0"/>
              <w:left w:val="nil"/>
              <w:bottom w:val="single" w:color="auto" w:sz="4" w:space="0"/>
              <w:right w:val="single" w:color="auto" w:sz="4" w:space="0"/>
            </w:tcBorders>
            <w:noWrap/>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827"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eastAsia="宋体" w:cs="Times New Roman"/>
                <w:kern w:val="0"/>
                <w:sz w:val="24"/>
                <w:szCs w:val="24"/>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在采购合同签订后30个日历日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保修期：自验收合格之日起，产品免费保修期至少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产品免费保修期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4</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lang w:val="en-US" w:eastAsia="zh-CN"/>
        </w:rPr>
        <w:t>5</w:t>
      </w:r>
      <w:r>
        <w:rPr>
          <w:rFonts w:hint="eastAsia" w:cs="Arial" w:asciiTheme="minorEastAsia" w:hAnsiTheme="minorEastAsia"/>
          <w:sz w:val="24"/>
          <w:szCs w:val="24"/>
        </w:rPr>
        <w:t>.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lang w:val="en-US" w:eastAsia="zh-CN"/>
        </w:rPr>
        <w:t>6</w:t>
      </w:r>
      <w:r>
        <w:rPr>
          <w:rFonts w:hint="eastAsia" w:cs="Arial" w:asciiTheme="minorEastAsia" w:hAnsiTheme="minorEastAsia"/>
          <w:sz w:val="24"/>
          <w:szCs w:val="24"/>
        </w:rPr>
        <w:t>.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信息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lang w:val="en-US" w:eastAsia="zh-CN"/>
        </w:rPr>
        <w:t>7</w:t>
      </w:r>
      <w:r>
        <w:rPr>
          <w:rFonts w:hint="eastAsia" w:cs="Arial" w:asciiTheme="minorEastAsia" w:hAnsiTheme="minorEastAsia"/>
          <w:sz w:val="24"/>
          <w:szCs w:val="24"/>
        </w:rPr>
        <w:t>.</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90713968"/>
      <w:bookmarkStart w:id="10" w:name="_Toc43485653"/>
      <w:bookmarkStart w:id="11" w:name="_Toc240432230"/>
      <w:bookmarkStart w:id="12" w:name="_Toc285612601"/>
      <w:bookmarkStart w:id="13" w:name="_Toc43554098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2.预留质量保证金：硬件类项目为合同总金额的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，自验收合格之日起，十二个月 正常使用且无质量问题时，一次性结清；软件服务类项目为合同总金额的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质保期满后一次结清。</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w:t>
      </w:r>
      <w:r>
        <w:rPr>
          <w:rFonts w:cs="Times New Roman" w:asciiTheme="minorEastAsia" w:hAnsiTheme="minorEastAsia"/>
          <w:snapToGrid w:val="0"/>
          <w:kern w:val="0"/>
          <w:sz w:val="24"/>
          <w:szCs w:val="24"/>
        </w:rPr>
        <w:t>《</w:t>
      </w:r>
      <w:r>
        <w:rPr>
          <w:rFonts w:hint="eastAsia" w:cs="Times New Roman" w:asciiTheme="minorEastAsia" w:hAnsiTheme="minorEastAsia"/>
          <w:snapToGrid w:val="0"/>
          <w:kern w:val="0"/>
          <w:sz w:val="24"/>
          <w:szCs w:val="24"/>
        </w:rPr>
        <w:t>中国招标</w:t>
      </w:r>
      <w:r>
        <w:rPr>
          <w:rFonts w:cs="Times New Roman" w:asciiTheme="minorEastAsia" w:hAnsiTheme="minorEastAsia"/>
          <w:snapToGrid w:val="0"/>
          <w:kern w:val="0"/>
          <w:sz w:val="24"/>
          <w:szCs w:val="24"/>
        </w:rPr>
        <w:t>网》</w:t>
      </w:r>
      <w:r>
        <w:rPr>
          <w:rFonts w:hint="eastAsia" w:cs="Times New Roman" w:asciiTheme="minorEastAsia" w:hAnsiTheme="minorEastAsia"/>
          <w:snapToGrid w:val="0"/>
          <w:kern w:val="0"/>
          <w:sz w:val="24"/>
          <w:szCs w:val="24"/>
        </w:rPr>
        <w:t>（</w:t>
      </w:r>
      <w:r>
        <w:fldChar w:fldCharType="begin"/>
      </w:r>
      <w:r>
        <w:instrText xml:space="preserve"> HYPERLINK "http://www.zhaobiao.cn" </w:instrText>
      </w:r>
      <w:r>
        <w:fldChar w:fldCharType="separate"/>
      </w:r>
      <w:r>
        <w:rPr>
          <w:rStyle w:val="22"/>
          <w:rFonts w:asciiTheme="minorEastAsia" w:hAnsiTheme="minorEastAsia"/>
          <w:snapToGrid w:val="0"/>
          <w:color w:val="auto"/>
          <w:kern w:val="0"/>
          <w:sz w:val="24"/>
          <w:szCs w:val="24"/>
          <w:u w:val="none"/>
        </w:rPr>
        <w:t>www.zhaobiao.cn</w:t>
      </w:r>
      <w:r>
        <w:rPr>
          <w:rStyle w:val="22"/>
          <w:rFonts w:asciiTheme="minorEastAsia" w:hAnsiTheme="minorEastAsia"/>
          <w:snapToGrid w:val="0"/>
          <w:color w:val="auto"/>
          <w:kern w:val="0"/>
          <w:sz w:val="24"/>
          <w:szCs w:val="24"/>
          <w:u w:val="none"/>
        </w:rPr>
        <w:fldChar w:fldCharType="end"/>
      </w:r>
      <w:r>
        <w:rPr>
          <w:rFonts w:hint="eastAsia" w:cs="Times New Roman" w:asciiTheme="minorEastAsia" w:hAnsiTheme="minorEastAsia"/>
          <w:snapToGrid w:val="0"/>
          <w:kern w:val="0"/>
          <w:sz w:val="24"/>
          <w:szCs w:val="24"/>
        </w:rPr>
        <w:t>）及医院官网（</w:t>
      </w:r>
      <w:r>
        <w:rPr>
          <w:rFonts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rPr>
        <w:t>）</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snapToGrid w:val="0"/>
          <w:kern w:val="0"/>
          <w:sz w:val="24"/>
          <w:szCs w:val="24"/>
          <w:lang w:val="zh-CN"/>
        </w:rPr>
        <w:t>生产厂家售后服务承诺（进口设备由总代提供，附件10</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(12)</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(13)</w:t>
      </w:r>
      <w:r>
        <w:rPr>
          <w:rFonts w:hint="eastAsia" w:cs="Times New Roman" w:asciiTheme="minorEastAsia" w:hAnsiTheme="minorEastAsia"/>
          <w:kern w:val="0"/>
          <w:sz w:val="24"/>
          <w:szCs w:val="24"/>
        </w:rPr>
        <w:t>技术评审表（附件12）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w:t>
      </w:r>
      <w:r>
        <w:rPr>
          <w:rFonts w:hint="eastAsia" w:cs="Times New Roman" w:asciiTheme="minorEastAsia" w:hAnsiTheme="minorEastAsia"/>
          <w:kern w:val="0"/>
          <w:sz w:val="24"/>
          <w:szCs w:val="24"/>
        </w:rPr>
        <w:t>商务评审表（附件13）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(5)保密承诺书（附件17）</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(9)良好的商业信誉和健全的财务会计制度证明材料：会计师事务所出具的近3年（不足3年以成立日期起算）审计报告主要内容或公司近3年财务报表，至少应包括资产负债表、利润表及现金流量表。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(10)相关声明书（包含但不限于以下内容）：①非外资企业或外资控股企业的书面声明；②参加本次采购活动前3年内在经营活动中没有重大违法记录的书面声明。（附件19）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 院内传染病上报系统生产企业营业执照（进口产品需提供国内总代理营业执照）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院内传染病上报系统生产企业对代理公司参与报价的授权书（进口产品需提供原产厂家对中国总代的中英文授权书复印件或同步翻译件。附件20）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院内传染病上报系统软件著作权</w:t>
      </w:r>
    </w:p>
    <w:p>
      <w:pPr>
        <w:adjustRightInd w:val="0"/>
        <w:snapToGrid w:val="0"/>
        <w:spacing w:line="440" w:lineRule="exact"/>
        <w:ind w:firstLine="455" w:firstLineChars="197"/>
        <w:rPr>
          <w:rFonts w:cs="Times New Roman" w:asciiTheme="minorEastAsia" w:hAnsiTheme="minorEastAsia"/>
          <w:kern w:val="0"/>
          <w:sz w:val="24"/>
          <w:szCs w:val="24"/>
        </w:rPr>
      </w:pPr>
      <w:r>
        <w:rPr>
          <w:rFonts w:hint="eastAsia" w:cs="Times New Roman" w:asciiTheme="minorEastAsia" w:hAnsiTheme="minorEastAsia"/>
          <w:kern w:val="0"/>
          <w:sz w:val="24"/>
          <w:szCs w:val="24"/>
        </w:rPr>
        <w:t>(14)报价方认为需要加以说明的其他内容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报价方可以选择性提供其他资格证明文件，包括但不限于质量管理体系认证证书、环境管理体系认证证书、职业健康管理体系认证证书、3C认证、高新技术企业</w:t>
      </w:r>
      <w:r>
        <w:rPr>
          <w:rFonts w:hint="eastAsia" w:asciiTheme="majorEastAsia" w:hAnsiTheme="majorEastAsia" w:eastAsiaTheme="majorEastAsia"/>
          <w:sz w:val="24"/>
          <w:szCs w:val="24"/>
        </w:rPr>
        <w:t>、电子与智能化工程专业资质、</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8"/>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98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6.健全的财务会计制度证明材料：会计师事务所出具的近3年（不足3年以成立日期起算）审计报告主要内容或公司近3年财务报表，至少应包括资产负债表、利润表及现金流量表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院内传染病上报系统</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114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院内传染病上报系统生产企业对代理公司参与报价的授权书（进口产品需提供原产厂家对中国总代的中英文授权书复印件或同步翻译件）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72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10. 院内传染病上报系统软件著作权</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11. 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49"/>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tcBorders>
              <w:top w:val="single" w:color="000000" w:sz="4" w:space="0"/>
              <w:bottom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序号</w:t>
            </w:r>
          </w:p>
        </w:tc>
        <w:tc>
          <w:tcPr>
            <w:tcW w:w="8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评审</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项目</w:t>
            </w:r>
          </w:p>
        </w:tc>
        <w:tc>
          <w:tcPr>
            <w:tcW w:w="7088"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评审内容及规则</w:t>
            </w:r>
          </w:p>
        </w:tc>
        <w:tc>
          <w:tcPr>
            <w:tcW w:w="708" w:type="dxa"/>
            <w:tcBorders>
              <w:top w:val="single" w:color="000000" w:sz="4" w:space="0"/>
              <w:left w:val="single" w:color="000000" w:sz="4" w:space="0"/>
              <w:bottom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标准</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Borders>
              <w:top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b/>
                <w:bCs/>
                <w:kern w:val="0"/>
                <w:sz w:val="21"/>
                <w:szCs w:val="21"/>
              </w:rPr>
            </w:pPr>
            <w:r>
              <w:rPr>
                <w:rFonts w:hint="eastAsia" w:ascii="宋体" w:hAnsi="宋体" w:eastAsia="宋体" w:cs="Times New Roman"/>
                <w:b/>
                <w:bCs/>
                <w:kern w:val="0"/>
                <w:sz w:val="21"/>
                <w:szCs w:val="21"/>
              </w:rPr>
              <w:t>商务评审</w:t>
            </w:r>
          </w:p>
        </w:tc>
        <w:tc>
          <w:tcPr>
            <w:tcW w:w="708" w:type="dxa"/>
            <w:tcBorders>
              <w:top w:val="single" w:color="000000" w:sz="4" w:space="0"/>
              <w:left w:val="single" w:color="000000" w:sz="4" w:space="0"/>
            </w:tcBorders>
            <w:vAlign w:val="center"/>
          </w:tcPr>
          <w:p>
            <w:pPr>
              <w:adjustRightInd w:val="0"/>
              <w:snapToGrid w:val="0"/>
              <w:spacing w:line="300" w:lineRule="auto"/>
              <w:rPr>
                <w:rFonts w:ascii="宋体" w:hAnsi="宋体" w:eastAsia="宋体" w:cs="Times New Roman"/>
                <w:b/>
                <w:bCs/>
                <w:kern w:val="0"/>
                <w:sz w:val="21"/>
                <w:szCs w:val="21"/>
              </w:rPr>
            </w:pPr>
          </w:p>
          <w:p>
            <w:pPr>
              <w:adjustRightInd w:val="0"/>
              <w:snapToGrid w:val="0"/>
              <w:spacing w:line="300" w:lineRule="auto"/>
              <w:rPr>
                <w:rFonts w:ascii="宋体" w:hAnsi="宋体" w:eastAsia="宋体" w:cs="Times New Roman"/>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一</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价  格</w:t>
            </w:r>
          </w:p>
        </w:tc>
        <w:tc>
          <w:tcPr>
            <w:tcW w:w="7088" w:type="dxa"/>
            <w:gridSpan w:val="2"/>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满足招标文件要求且报价最低的为评审基准价</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价格得分=（评审基准价/报价）×标准分值</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二</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产品</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业绩</w:t>
            </w:r>
          </w:p>
        </w:tc>
        <w:tc>
          <w:tcPr>
            <w:tcW w:w="7088" w:type="dxa"/>
            <w:gridSpan w:val="2"/>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ascii="宋体" w:hAnsi="宋体" w:eastAsia="宋体" w:cs="Times New Roman"/>
                <w:kern w:val="0"/>
                <w:sz w:val="21"/>
                <w:szCs w:val="21"/>
              </w:rPr>
              <w:t>的销售业绩。以提供的销售合同复印件为准，未盖章或盖章不清晰、总金额或数量不清晰的合同无效。</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业绩得分=（所投产品业绩/基准业绩）×标准分值</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基准业绩=近三年（截止开标时间）所投产品有效合同累计销售最高数量（以有效合同份数计算）</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三</w:t>
            </w:r>
          </w:p>
        </w:tc>
        <w:tc>
          <w:tcPr>
            <w:tcW w:w="852"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企业</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规模</w:t>
            </w: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852"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2.根据报价方近三年缴纳社保</w:t>
            </w:r>
            <w:r>
              <w:rPr>
                <w:rFonts w:hint="eastAsia" w:ascii="宋体" w:hAnsi="宋体" w:eastAsia="宋体" w:cs="Times New Roman"/>
                <w:b/>
                <w:kern w:val="0"/>
                <w:sz w:val="21"/>
                <w:szCs w:val="21"/>
                <w:u w:val="single"/>
              </w:rPr>
              <w:t>总金额</w:t>
            </w:r>
            <w:r>
              <w:rPr>
                <w:rFonts w:hint="eastAsia" w:ascii="宋体" w:hAnsi="宋体" w:eastAsia="宋体" w:cs="Times New Roman"/>
                <w:kern w:val="0"/>
                <w:sz w:val="21"/>
                <w:szCs w:val="21"/>
              </w:rPr>
              <w:t>由大至小排名，第一名得1分，依次递减0.2分。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四</w:t>
            </w:r>
          </w:p>
        </w:tc>
        <w:tc>
          <w:tcPr>
            <w:tcW w:w="852"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信  誉</w:t>
            </w: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1.报价方近两年连续获得税务部门颁发的企业纳税信用</w:t>
            </w:r>
            <w:r>
              <w:rPr>
                <w:rFonts w:hint="eastAsia" w:ascii="宋体" w:hAnsi="宋体" w:eastAsia="宋体" w:cs="Times New Roman"/>
                <w:b/>
                <w:kern w:val="0"/>
                <w:sz w:val="21"/>
                <w:szCs w:val="21"/>
                <w:u w:val="single"/>
              </w:rPr>
              <w:t>A级</w:t>
            </w:r>
            <w:r>
              <w:rPr>
                <w:rFonts w:hint="eastAsia" w:ascii="宋体" w:hAnsi="宋体" w:eastAsia="宋体" w:cs="Times New Roman"/>
                <w:kern w:val="0"/>
                <w:sz w:val="21"/>
                <w:szCs w:val="21"/>
              </w:rPr>
              <w:t>评价证书的得0.5分，其他得0分。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852"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2.报价方近一年获得银行颁发的资信（信用）</w:t>
            </w:r>
            <w:r>
              <w:rPr>
                <w:rFonts w:hint="eastAsia" w:ascii="宋体" w:hAnsi="宋体" w:eastAsia="宋体" w:cs="Times New Roman"/>
                <w:b/>
                <w:kern w:val="0"/>
                <w:sz w:val="21"/>
                <w:szCs w:val="21"/>
                <w:u w:val="single"/>
              </w:rPr>
              <w:t>等级</w:t>
            </w:r>
            <w:r>
              <w:rPr>
                <w:rFonts w:hint="eastAsia" w:ascii="宋体" w:hAnsi="宋体" w:eastAsia="宋体" w:cs="Times New Roman"/>
                <w:kern w:val="0"/>
                <w:sz w:val="21"/>
                <w:szCs w:val="21"/>
              </w:rPr>
              <w:t>证明，级别最高的得0.5分，其他得0分。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6"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五</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财务</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状况</w:t>
            </w:r>
          </w:p>
        </w:tc>
        <w:tc>
          <w:tcPr>
            <w:tcW w:w="7088" w:type="dxa"/>
            <w:gridSpan w:val="2"/>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六</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报价方</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性质</w:t>
            </w: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报价方是</w:t>
            </w:r>
            <w:r>
              <w:rPr>
                <w:rFonts w:hint="eastAsia" w:ascii="宋体" w:hAnsi="宋体" w:eastAsia="宋体" w:cs="Times New Roman"/>
                <w:b/>
                <w:kern w:val="0"/>
                <w:sz w:val="21"/>
                <w:szCs w:val="21"/>
                <w:u w:val="single"/>
              </w:rPr>
              <w:t>生产企业或进口产品全国（大区）总代理</w:t>
            </w:r>
            <w:r>
              <w:rPr>
                <w:rFonts w:hint="eastAsia" w:ascii="宋体" w:hAnsi="宋体" w:eastAsia="宋体" w:cs="Times New Roman"/>
                <w:kern w:val="0"/>
                <w:sz w:val="21"/>
                <w:szCs w:val="21"/>
              </w:rPr>
              <w:t>的得标准分值，不是的得0分。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七</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特色商务</w:t>
            </w:r>
          </w:p>
        </w:tc>
        <w:tc>
          <w:tcPr>
            <w:tcW w:w="7088" w:type="dxa"/>
            <w:gridSpan w:val="2"/>
            <w:tcBorders>
              <w:top w:val="single" w:color="auto" w:sz="4" w:space="0"/>
            </w:tcBorders>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color w:val="000000" w:themeColor="text1"/>
                <w:kern w:val="0"/>
                <w:sz w:val="21"/>
                <w:szCs w:val="21"/>
              </w:rPr>
              <w:t>投标公司为</w:t>
            </w:r>
            <w:r>
              <w:rPr>
                <w:rFonts w:ascii="宋体" w:hAnsi="宋体" w:eastAsia="宋体" w:cs="Times New Roman"/>
                <w:color w:val="000000" w:themeColor="text1"/>
                <w:kern w:val="0"/>
                <w:sz w:val="21"/>
                <w:szCs w:val="21"/>
              </w:rPr>
              <w:t>上市公司或为所投产品行业标准制定</w:t>
            </w:r>
            <w:r>
              <w:rPr>
                <w:rFonts w:hint="eastAsia" w:ascii="宋体" w:hAnsi="宋体" w:eastAsia="宋体" w:cs="Times New Roman"/>
                <w:color w:val="000000" w:themeColor="text1"/>
                <w:kern w:val="0"/>
                <w:sz w:val="21"/>
                <w:szCs w:val="21"/>
              </w:rPr>
              <w:t>者</w:t>
            </w:r>
            <w:r>
              <w:rPr>
                <w:rFonts w:ascii="宋体" w:hAnsi="宋体" w:eastAsia="宋体" w:cs="Times New Roman"/>
                <w:color w:val="000000" w:themeColor="text1"/>
                <w:kern w:val="0"/>
                <w:sz w:val="21"/>
                <w:szCs w:val="21"/>
              </w:rPr>
              <w:t>得</w:t>
            </w:r>
            <w:r>
              <w:rPr>
                <w:rFonts w:hint="eastAsia" w:ascii="宋体" w:hAnsi="宋体" w:eastAsia="宋体" w:cs="Times New Roman"/>
                <w:color w:val="000000" w:themeColor="text1"/>
                <w:kern w:val="0"/>
                <w:sz w:val="21"/>
                <w:szCs w:val="21"/>
              </w:rPr>
              <w:t>3分</w:t>
            </w:r>
            <w:r>
              <w:rPr>
                <w:rFonts w:ascii="宋体" w:hAnsi="宋体" w:eastAsia="宋体" w:cs="Times New Roman"/>
                <w:color w:val="000000" w:themeColor="text1"/>
                <w:kern w:val="0"/>
                <w:sz w:val="21"/>
                <w:szCs w:val="21"/>
              </w:rPr>
              <w:t>，</w:t>
            </w:r>
            <w:r>
              <w:rPr>
                <w:rFonts w:hint="eastAsia" w:ascii="宋体" w:hAnsi="宋体" w:eastAsia="宋体" w:cs="Times New Roman"/>
                <w:color w:val="000000" w:themeColor="text1"/>
                <w:kern w:val="0"/>
                <w:sz w:val="21"/>
                <w:szCs w:val="21"/>
              </w:rPr>
              <w:t>所投</w:t>
            </w:r>
            <w:r>
              <w:rPr>
                <w:rFonts w:ascii="宋体" w:hAnsi="宋体" w:eastAsia="宋体" w:cs="Times New Roman"/>
                <w:color w:val="000000" w:themeColor="text1"/>
                <w:kern w:val="0"/>
                <w:sz w:val="21"/>
                <w:szCs w:val="21"/>
              </w:rPr>
              <w:t>产品</w:t>
            </w:r>
            <w:r>
              <w:rPr>
                <w:rFonts w:hint="eastAsia" w:ascii="宋体" w:hAnsi="宋体" w:eastAsia="宋体" w:cs="Times New Roman"/>
                <w:color w:val="000000" w:themeColor="text1"/>
                <w:kern w:val="0"/>
                <w:sz w:val="21"/>
                <w:szCs w:val="21"/>
              </w:rPr>
              <w:t>标准</w:t>
            </w:r>
            <w:r>
              <w:rPr>
                <w:rFonts w:ascii="宋体" w:hAnsi="宋体" w:eastAsia="宋体" w:cs="Times New Roman"/>
                <w:color w:val="000000" w:themeColor="text1"/>
                <w:kern w:val="0"/>
                <w:sz w:val="21"/>
                <w:szCs w:val="21"/>
              </w:rPr>
              <w:t>达到行业领先水平得</w:t>
            </w:r>
            <w:r>
              <w:rPr>
                <w:rFonts w:hint="eastAsia" w:ascii="宋体" w:hAnsi="宋体" w:eastAsia="宋体" w:cs="Times New Roman"/>
                <w:color w:val="000000" w:themeColor="text1"/>
                <w:kern w:val="0"/>
                <w:sz w:val="21"/>
                <w:szCs w:val="21"/>
              </w:rPr>
              <w:t>2分</w:t>
            </w:r>
            <w:r>
              <w:rPr>
                <w:rFonts w:ascii="宋体" w:hAnsi="宋体" w:eastAsia="宋体" w:cs="Times New Roman"/>
                <w:color w:val="000000" w:themeColor="text1"/>
                <w:kern w:val="0"/>
                <w:sz w:val="21"/>
                <w:szCs w:val="21"/>
              </w:rPr>
              <w:t>，达到区域领先的得</w:t>
            </w:r>
            <w:r>
              <w:rPr>
                <w:rFonts w:hint="eastAsia" w:ascii="宋体" w:hAnsi="宋体" w:eastAsia="宋体" w:cs="Times New Roman"/>
                <w:color w:val="000000" w:themeColor="text1"/>
                <w:kern w:val="0"/>
                <w:sz w:val="21"/>
                <w:szCs w:val="21"/>
              </w:rPr>
              <w:t>1分</w:t>
            </w:r>
            <w:r>
              <w:rPr>
                <w:rFonts w:ascii="宋体" w:hAnsi="宋体" w:eastAsia="宋体" w:cs="Times New Roman"/>
                <w:color w:val="000000" w:themeColor="text1"/>
                <w:kern w:val="0"/>
                <w:sz w:val="21"/>
                <w:szCs w:val="21"/>
              </w:rPr>
              <w:t>。</w:t>
            </w:r>
            <w:r>
              <w:rPr>
                <w:rFonts w:hint="eastAsia" w:ascii="宋体" w:hAnsi="宋体" w:eastAsia="宋体" w:cs="Times New Roman"/>
                <w:color w:val="000000" w:themeColor="text1"/>
                <w:kern w:val="0"/>
                <w:sz w:val="21"/>
                <w:szCs w:val="21"/>
              </w:rPr>
              <w:t>（提供证明材料）</w:t>
            </w:r>
          </w:p>
        </w:tc>
        <w:tc>
          <w:tcPr>
            <w:tcW w:w="708" w:type="dxa"/>
            <w:tcBorders>
              <w:top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ascii="宋体" w:hAnsi="宋体" w:eastAsia="宋体" w:cs="Times New Roman"/>
                <w:color w:val="000000" w:themeColor="text1"/>
                <w:kern w:val="0"/>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300" w:lineRule="auto"/>
              <w:jc w:val="center"/>
              <w:rPr>
                <w:rFonts w:ascii="宋体" w:hAnsi="宋体" w:eastAsia="宋体" w:cs="Times New Roman"/>
                <w:b/>
                <w:bCs/>
                <w:kern w:val="0"/>
                <w:sz w:val="21"/>
                <w:szCs w:val="21"/>
              </w:rPr>
            </w:pPr>
            <w:r>
              <w:rPr>
                <w:rFonts w:hint="eastAsia" w:ascii="宋体" w:hAnsi="宋体" w:eastAsia="宋体" w:cs="Times New Roman"/>
                <w:b/>
                <w:bCs/>
                <w:kern w:val="0"/>
                <w:sz w:val="21"/>
                <w:szCs w:val="21"/>
              </w:rPr>
              <w:t>技术评审</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p>
          <w:p>
            <w:pPr>
              <w:adjustRightInd w:val="0"/>
              <w:snapToGrid w:val="0"/>
              <w:spacing w:line="300" w:lineRule="auto"/>
              <w:jc w:val="center"/>
              <w:rPr>
                <w:rFonts w:ascii="宋体" w:hAnsi="宋体"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一</w:t>
            </w:r>
          </w:p>
        </w:tc>
        <w:tc>
          <w:tcPr>
            <w:tcW w:w="994" w:type="dxa"/>
            <w:gridSpan w:val="2"/>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技术</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力量</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（10分）</w:t>
            </w:r>
          </w:p>
        </w:tc>
        <w:tc>
          <w:tcPr>
            <w:tcW w:w="6946" w:type="dxa"/>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1.所投产品具有相应软件著作权或</w:t>
            </w:r>
            <w:r>
              <w:rPr>
                <w:rFonts w:ascii="宋体" w:hAnsi="宋体" w:eastAsia="宋体" w:cs="Times New Roman"/>
                <w:kern w:val="0"/>
                <w:sz w:val="21"/>
                <w:szCs w:val="21"/>
              </w:rPr>
              <w:t>发明专利</w:t>
            </w:r>
            <w:r>
              <w:rPr>
                <w:rFonts w:hint="eastAsia" w:ascii="宋体" w:hAnsi="宋体" w:eastAsia="宋体" w:cs="Times New Roman"/>
                <w:kern w:val="0"/>
                <w:sz w:val="21"/>
                <w:szCs w:val="21"/>
              </w:rPr>
              <w:t>的得标准分，没有得0分。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2.制造商具有IS09001质量管理体系认证证书的得标准分，否则得0分。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3.制造商具有IS027001信息安全管理体系认证证书的得标准分，否则得0分。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4.开发商为高新技术企业的得标准分，否则得0分。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Pr>
          <w:p>
            <w:pPr>
              <w:adjustRightInd w:val="0"/>
              <w:snapToGrid w:val="0"/>
              <w:spacing w:line="300" w:lineRule="auto"/>
              <w:rPr>
                <w:rFonts w:ascii="宋体" w:hAnsi="宋体" w:eastAsia="宋体" w:cs="Times New Roman"/>
                <w:kern w:val="0"/>
                <w:sz w:val="21"/>
                <w:szCs w:val="21"/>
              </w:rPr>
            </w:pPr>
            <w:r>
              <w:rPr>
                <w:rFonts w:ascii="宋体" w:hAnsi="宋体" w:eastAsia="宋体" w:cs="Times New Roman"/>
                <w:kern w:val="0"/>
                <w:sz w:val="21"/>
                <w:szCs w:val="21"/>
              </w:rPr>
              <w:t>5.投标人具有计算机信息系统集成1级资质的得2分，2级的得1分，3级得0.5分，3级以下不得分。（提供证明材料）。</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Pr>
          <w:p>
            <w:pPr>
              <w:adjustRightInd w:val="0"/>
              <w:snapToGrid w:val="0"/>
              <w:spacing w:line="300" w:lineRule="auto"/>
              <w:rPr>
                <w:rFonts w:ascii="宋体" w:hAnsi="宋体" w:eastAsia="宋体" w:cs="Times New Roman"/>
                <w:kern w:val="0"/>
                <w:sz w:val="21"/>
                <w:szCs w:val="21"/>
              </w:rPr>
            </w:pPr>
            <w:r>
              <w:rPr>
                <w:rFonts w:ascii="宋体" w:hAnsi="宋体" w:eastAsia="宋体" w:cs="Times New Roman"/>
                <w:kern w:val="0"/>
                <w:sz w:val="21"/>
                <w:szCs w:val="21"/>
              </w:rPr>
              <w:t>6.开发商</w:t>
            </w:r>
            <w:r>
              <w:rPr>
                <w:rFonts w:hint="eastAsia" w:ascii="宋体" w:hAnsi="宋体" w:eastAsia="宋体" w:cs="Times New Roman"/>
                <w:kern w:val="0"/>
                <w:sz w:val="21"/>
                <w:szCs w:val="21"/>
              </w:rPr>
              <w:t>或</w:t>
            </w:r>
            <w:r>
              <w:rPr>
                <w:rFonts w:ascii="宋体" w:hAnsi="宋体" w:eastAsia="宋体" w:cs="Times New Roman"/>
                <w:kern w:val="0"/>
                <w:sz w:val="21"/>
                <w:szCs w:val="21"/>
              </w:rPr>
              <w:t>投标人具有CMMI5认证证书的得2分，CMMI4认证证书的得1分，CMMI3</w:t>
            </w:r>
            <w:r>
              <w:rPr>
                <w:rFonts w:hint="eastAsia" w:ascii="宋体" w:hAnsi="宋体" w:eastAsia="宋体" w:cs="Times New Roman"/>
                <w:kern w:val="0"/>
                <w:sz w:val="21"/>
                <w:szCs w:val="21"/>
              </w:rPr>
              <w:t>认证</w:t>
            </w:r>
            <w:r>
              <w:rPr>
                <w:rFonts w:ascii="宋体" w:hAnsi="宋体" w:eastAsia="宋体" w:cs="Times New Roman"/>
                <w:kern w:val="0"/>
                <w:sz w:val="21"/>
                <w:szCs w:val="21"/>
              </w:rPr>
              <w:t>证书得0.5分, CMMI3以下得0分。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ascii="宋体" w:hAnsi="宋体" w:eastAsia="宋体" w:cs="Times New Roman"/>
                <w:kern w:val="0"/>
                <w:sz w:val="21"/>
                <w:szCs w:val="21"/>
              </w:rPr>
              <w:t>7</w:t>
            </w:r>
            <w:r>
              <w:rPr>
                <w:rFonts w:hint="eastAsia" w:ascii="宋体" w:hAnsi="宋体" w:eastAsia="宋体" w:cs="Times New Roman"/>
                <w:kern w:val="0"/>
                <w:sz w:val="21"/>
                <w:szCs w:val="21"/>
              </w:rPr>
              <w:t>.所投产品具有行业</w:t>
            </w:r>
            <w:r>
              <w:rPr>
                <w:rFonts w:ascii="宋体" w:hAnsi="宋体" w:eastAsia="宋体" w:cs="Times New Roman"/>
                <w:kern w:val="0"/>
                <w:sz w:val="21"/>
                <w:szCs w:val="21"/>
              </w:rPr>
              <w:t>技术标准、规范、</w:t>
            </w:r>
            <w:r>
              <w:rPr>
                <w:rFonts w:hint="eastAsia" w:ascii="宋体" w:hAnsi="宋体" w:eastAsia="宋体" w:cs="Times New Roman"/>
                <w:kern w:val="0"/>
                <w:sz w:val="21"/>
                <w:szCs w:val="21"/>
              </w:rPr>
              <w:t>认证</w:t>
            </w:r>
            <w:r>
              <w:rPr>
                <w:rFonts w:ascii="宋体" w:hAnsi="宋体" w:eastAsia="宋体" w:cs="Times New Roman"/>
                <w:kern w:val="0"/>
                <w:sz w:val="21"/>
                <w:szCs w:val="21"/>
              </w:rPr>
              <w:t>证书</w:t>
            </w:r>
            <w:r>
              <w:rPr>
                <w:rFonts w:hint="eastAsia" w:ascii="宋体" w:hAnsi="宋体" w:eastAsia="宋体" w:cs="Times New Roman"/>
                <w:kern w:val="0"/>
                <w:sz w:val="21"/>
                <w:szCs w:val="21"/>
              </w:rPr>
              <w:t>、</w:t>
            </w:r>
            <w:r>
              <w:rPr>
                <w:rFonts w:ascii="宋体" w:hAnsi="宋体" w:eastAsia="宋体" w:cs="Times New Roman"/>
                <w:kern w:val="0"/>
                <w:sz w:val="21"/>
                <w:szCs w:val="21"/>
              </w:rPr>
              <w:t>奖项等品质证明材料的，一项加</w:t>
            </w:r>
            <w:r>
              <w:rPr>
                <w:rFonts w:hint="eastAsia" w:ascii="宋体" w:hAnsi="宋体" w:eastAsia="宋体" w:cs="Times New Roman"/>
                <w:kern w:val="0"/>
                <w:sz w:val="21"/>
                <w:szCs w:val="21"/>
              </w:rPr>
              <w:t>0.5分</w:t>
            </w:r>
            <w:r>
              <w:rPr>
                <w:rFonts w:ascii="宋体" w:hAnsi="宋体" w:eastAsia="宋体" w:cs="Times New Roman"/>
                <w:kern w:val="0"/>
                <w:sz w:val="21"/>
                <w:szCs w:val="21"/>
              </w:rPr>
              <w:t>，最多加</w:t>
            </w:r>
            <w:r>
              <w:rPr>
                <w:rFonts w:hint="eastAsia" w:ascii="宋体" w:hAnsi="宋体" w:eastAsia="宋体" w:cs="Times New Roman"/>
                <w:kern w:val="0"/>
                <w:sz w:val="21"/>
                <w:szCs w:val="21"/>
              </w:rPr>
              <w:t>2分</w:t>
            </w:r>
            <w:r>
              <w:rPr>
                <w:rFonts w:ascii="宋体" w:hAnsi="宋体" w:eastAsia="宋体" w:cs="Times New Roman"/>
                <w:kern w:val="0"/>
                <w:sz w:val="21"/>
                <w:szCs w:val="21"/>
              </w:rPr>
              <w:t>。</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0"/>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0"/>
                <w:szCs w:val="21"/>
              </w:rPr>
            </w:pPr>
          </w:p>
        </w:tc>
        <w:tc>
          <w:tcPr>
            <w:tcW w:w="6946" w:type="dxa"/>
            <w:vAlign w:val="center"/>
          </w:tcPr>
          <w:p>
            <w:pPr>
              <w:adjustRightInd w:val="0"/>
              <w:snapToGrid w:val="0"/>
              <w:spacing w:line="300" w:lineRule="auto"/>
              <w:rPr>
                <w:rFonts w:ascii="宋体" w:hAnsi="宋体" w:eastAsia="宋体" w:cs="Times New Roman"/>
                <w:color w:val="FF0000"/>
                <w:kern w:val="0"/>
                <w:sz w:val="20"/>
                <w:szCs w:val="21"/>
              </w:rPr>
            </w:pPr>
            <w:r>
              <w:rPr>
                <w:rFonts w:ascii="宋体" w:hAnsi="宋体" w:eastAsia="宋体" w:cs="Times New Roman"/>
                <w:kern w:val="0"/>
                <w:sz w:val="21"/>
                <w:szCs w:val="21"/>
              </w:rPr>
              <w:t>8</w:t>
            </w:r>
            <w:r>
              <w:rPr>
                <w:rFonts w:hint="eastAsia" w:ascii="宋体" w:hAnsi="宋体" w:eastAsia="宋体" w:cs="Times New Roman"/>
                <w:kern w:val="0"/>
                <w:sz w:val="21"/>
                <w:szCs w:val="21"/>
              </w:rPr>
              <w:t>.投标人</w:t>
            </w:r>
            <w:r>
              <w:rPr>
                <w:rFonts w:ascii="宋体" w:hAnsi="宋体" w:eastAsia="宋体" w:cs="Times New Roman"/>
                <w:kern w:val="0"/>
                <w:sz w:val="21"/>
                <w:szCs w:val="21"/>
              </w:rPr>
              <w:t>具有</w:t>
            </w:r>
            <w:r>
              <w:rPr>
                <w:rFonts w:hint="eastAsia" w:ascii="宋体" w:hAnsi="宋体" w:eastAsia="宋体" w:cs="Times New Roman"/>
                <w:kern w:val="0"/>
                <w:sz w:val="21"/>
                <w:szCs w:val="21"/>
              </w:rPr>
              <w:t>系统分析师、系统构架师、软件工程、数据库专业开发人员、程序员以及有经验的项目管理和组织能力项目经理，并提供相应的高级</w:t>
            </w:r>
            <w:r>
              <w:rPr>
                <w:rFonts w:ascii="宋体" w:hAnsi="宋体" w:eastAsia="宋体" w:cs="Times New Roman"/>
                <w:kern w:val="0"/>
                <w:sz w:val="21"/>
                <w:szCs w:val="21"/>
              </w:rPr>
              <w:t>职称</w:t>
            </w:r>
            <w:r>
              <w:rPr>
                <w:rFonts w:hint="eastAsia" w:ascii="宋体" w:hAnsi="宋体" w:eastAsia="宋体" w:cs="Times New Roman"/>
                <w:kern w:val="0"/>
                <w:sz w:val="21"/>
                <w:szCs w:val="21"/>
              </w:rPr>
              <w:t>资质。每提供一个证书得</w:t>
            </w:r>
            <w:r>
              <w:rPr>
                <w:rFonts w:ascii="宋体" w:hAnsi="宋体" w:eastAsia="宋体" w:cs="Times New Roman"/>
                <w:kern w:val="0"/>
                <w:sz w:val="21"/>
                <w:szCs w:val="21"/>
              </w:rPr>
              <w:t>0.5分，最多得2分（并提供社保作为支持）</w:t>
            </w:r>
          </w:p>
        </w:tc>
        <w:tc>
          <w:tcPr>
            <w:tcW w:w="708"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二</w:t>
            </w:r>
          </w:p>
        </w:tc>
        <w:tc>
          <w:tcPr>
            <w:tcW w:w="994" w:type="dxa"/>
            <w:gridSpan w:val="2"/>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产品技术性能指标参数满足偏离情况（30分）</w:t>
            </w:r>
          </w:p>
        </w:tc>
        <w:tc>
          <w:tcPr>
            <w:tcW w:w="6946" w:type="dxa"/>
            <w:tcBorders>
              <w:bottom w:val="single" w:color="auto" w:sz="4" w:space="0"/>
            </w:tcBorders>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符合招标文件技术要求的有效起评分为</w:t>
            </w:r>
            <w:r>
              <w:rPr>
                <w:rFonts w:ascii="宋体" w:hAnsi="宋体" w:eastAsia="宋体" w:cs="Times New Roman"/>
                <w:kern w:val="0"/>
                <w:sz w:val="21"/>
                <w:szCs w:val="21"/>
              </w:rPr>
              <w:t>15</w:t>
            </w:r>
            <w:r>
              <w:rPr>
                <w:rFonts w:hint="eastAsia" w:ascii="宋体" w:hAnsi="宋体" w:eastAsia="宋体" w:cs="Times New Roman"/>
                <w:kern w:val="0"/>
                <w:sz w:val="21"/>
                <w:szCs w:val="21"/>
              </w:rPr>
              <w:t>分：</w:t>
            </w:r>
          </w:p>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 关键重要技术指标参数（★），每条加</w:t>
            </w:r>
            <w:r>
              <w:rPr>
                <w:rFonts w:ascii="宋体" w:hAnsi="宋体" w:eastAsia="宋体" w:cs="Times New Roman"/>
                <w:kern w:val="0"/>
                <w:sz w:val="21"/>
                <w:szCs w:val="21"/>
              </w:rPr>
              <w:t>1</w:t>
            </w:r>
            <w:r>
              <w:rPr>
                <w:rFonts w:hint="eastAsia" w:ascii="宋体" w:hAnsi="宋体" w:eastAsia="宋体" w:cs="Times New Roman"/>
                <w:kern w:val="0"/>
                <w:sz w:val="21"/>
                <w:szCs w:val="21"/>
              </w:rPr>
              <w:t>分，最多加</w:t>
            </w:r>
            <w:r>
              <w:rPr>
                <w:rFonts w:ascii="宋体" w:hAnsi="宋体" w:eastAsia="宋体" w:cs="Times New Roman"/>
                <w:kern w:val="0"/>
                <w:sz w:val="21"/>
                <w:szCs w:val="21"/>
              </w:rPr>
              <w:t>10</w:t>
            </w:r>
            <w:r>
              <w:rPr>
                <w:rFonts w:hint="eastAsia" w:ascii="宋体" w:hAnsi="宋体" w:eastAsia="宋体" w:cs="Times New Roman"/>
                <w:kern w:val="0"/>
                <w:sz w:val="21"/>
                <w:szCs w:val="21"/>
              </w:rPr>
              <w:t>分；</w:t>
            </w:r>
          </w:p>
          <w:p>
            <w:pPr>
              <w:adjustRightInd w:val="0"/>
              <w:snapToGrid w:val="0"/>
              <w:spacing w:line="300" w:lineRule="auto"/>
              <w:rPr>
                <w:rFonts w:ascii="宋体" w:hAnsi="宋体" w:eastAsia="宋体" w:cs="Times New Roman"/>
                <w:kern w:val="0"/>
                <w:sz w:val="21"/>
                <w:szCs w:val="21"/>
                <w:lang w:val="zh-CN"/>
              </w:rPr>
            </w:pPr>
            <w:r>
              <w:rPr>
                <w:rFonts w:hint="eastAsia" w:ascii="宋体" w:hAnsi="宋体" w:eastAsia="宋体" w:cs="Times New Roman"/>
                <w:kern w:val="0"/>
                <w:sz w:val="21"/>
                <w:szCs w:val="21"/>
              </w:rPr>
              <w:t>2.</w:t>
            </w:r>
            <w:r>
              <w:rPr>
                <w:rFonts w:hint="eastAsia" w:ascii="宋体" w:hAnsi="宋体" w:eastAsia="宋体" w:cs="Times New Roman"/>
                <w:kern w:val="0"/>
                <w:sz w:val="21"/>
                <w:szCs w:val="21"/>
                <w:lang w:val="zh-CN"/>
              </w:rPr>
              <w:t xml:space="preserve"> 一般技术指标参数正偏离每条加</w:t>
            </w:r>
            <w:r>
              <w:rPr>
                <w:rFonts w:ascii="宋体" w:hAnsi="宋体" w:eastAsia="宋体" w:cs="Times New Roman"/>
                <w:kern w:val="0"/>
                <w:sz w:val="21"/>
                <w:szCs w:val="21"/>
                <w:lang w:val="zh-CN"/>
              </w:rPr>
              <w:t>0.5</w:t>
            </w:r>
            <w:r>
              <w:rPr>
                <w:rFonts w:hint="eastAsia" w:ascii="宋体" w:hAnsi="宋体" w:eastAsia="宋体" w:cs="Times New Roman"/>
                <w:kern w:val="0"/>
                <w:sz w:val="21"/>
                <w:szCs w:val="21"/>
                <w:lang w:val="zh-CN"/>
              </w:rPr>
              <w:t>分，最多加</w:t>
            </w:r>
            <w:r>
              <w:rPr>
                <w:rFonts w:ascii="宋体" w:hAnsi="宋体" w:eastAsia="宋体" w:cs="Times New Roman"/>
                <w:kern w:val="0"/>
                <w:sz w:val="21"/>
                <w:szCs w:val="21"/>
                <w:lang w:val="zh-CN"/>
              </w:rPr>
              <w:t>5</w:t>
            </w:r>
            <w:r>
              <w:rPr>
                <w:rFonts w:hint="eastAsia" w:ascii="宋体" w:hAnsi="宋体" w:eastAsia="宋体" w:cs="Times New Roman"/>
                <w:kern w:val="0"/>
                <w:sz w:val="21"/>
                <w:szCs w:val="21"/>
                <w:lang w:val="zh-CN"/>
              </w:rPr>
              <w:t>分；</w:t>
            </w:r>
          </w:p>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3.</w:t>
            </w:r>
            <w:r>
              <w:rPr>
                <w:rFonts w:hint="eastAsia" w:ascii="宋体" w:hAnsi="宋体" w:eastAsia="宋体" w:cs="Times New Roman"/>
                <w:kern w:val="0"/>
                <w:sz w:val="21"/>
                <w:szCs w:val="21"/>
                <w:lang w:val="zh-CN"/>
              </w:rPr>
              <w:t xml:space="preserve"> 一般技术指标参数</w:t>
            </w:r>
            <w:r>
              <w:rPr>
                <w:rFonts w:hint="eastAsia" w:ascii="宋体" w:hAnsi="宋体" w:eastAsia="宋体" w:cs="Times New Roman"/>
                <w:kern w:val="0"/>
                <w:sz w:val="21"/>
                <w:szCs w:val="21"/>
              </w:rPr>
              <w:t>负偏离，每条扣</w:t>
            </w:r>
            <w:r>
              <w:rPr>
                <w:rFonts w:ascii="宋体" w:hAnsi="宋体" w:eastAsia="宋体" w:cs="Times New Roman"/>
                <w:kern w:val="0"/>
                <w:sz w:val="21"/>
                <w:szCs w:val="21"/>
              </w:rPr>
              <w:t>1</w:t>
            </w:r>
            <w:r>
              <w:rPr>
                <w:rFonts w:hint="eastAsia" w:ascii="宋体" w:hAnsi="宋体" w:eastAsia="宋体" w:cs="Times New Roman"/>
                <w:kern w:val="0"/>
                <w:sz w:val="21"/>
                <w:szCs w:val="21"/>
              </w:rPr>
              <w:t>分，扣完为止</w:t>
            </w:r>
          </w:p>
        </w:tc>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ascii="宋体" w:hAnsi="宋体" w:eastAsia="宋体" w:cs="Times New Roman"/>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top w:val="single" w:color="auto" w:sz="4" w:space="0"/>
            </w:tcBorders>
            <w:shd w:val="clear" w:color="auto" w:fill="auto"/>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产品配置不齐全或性能用途与招标要求不符，“产品技术性能指标参数满足偏离情况”总得分为0分。</w:t>
            </w:r>
          </w:p>
        </w:tc>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三</w:t>
            </w:r>
          </w:p>
        </w:tc>
        <w:tc>
          <w:tcPr>
            <w:tcW w:w="994" w:type="dxa"/>
            <w:gridSpan w:val="2"/>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售后</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服务</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（7分）</w:t>
            </w: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免费保修期：在满足招标文件要求的基础上，每增加1年得1分，最多得标准分值，不符合招标文件要求按无效投标处理。（未履行保修承诺的，相关企业将列入黑名单。）</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实施周期：是否提供开发整体系统明确、合理的项目实施周期和进度表。最优得标准分，其余依次递减0.5分，最低得0分。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人员组织保障：根据投标人项目组织实施保障方案评审，最优得标准分，其余依次递减0.5分。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bottom w:val="single" w:color="auto" w:sz="4" w:space="0"/>
            </w:tcBorders>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根据企业服务方式（是否</w:t>
            </w:r>
            <w:r>
              <w:rPr>
                <w:rFonts w:ascii="宋体" w:hAnsi="宋体" w:eastAsia="宋体" w:cs="Times New Roman"/>
                <w:kern w:val="0"/>
                <w:sz w:val="21"/>
                <w:szCs w:val="21"/>
              </w:rPr>
              <w:t>驻场</w:t>
            </w:r>
            <w:r>
              <w:rPr>
                <w:rFonts w:hint="eastAsia" w:ascii="宋体" w:hAnsi="宋体" w:eastAsia="宋体" w:cs="Times New Roman"/>
                <w:kern w:val="0"/>
                <w:sz w:val="21"/>
                <w:szCs w:val="21"/>
              </w:rPr>
              <w:t>）、现场支持、服务费用、服务等级等因素评分，最优得标准分，其余依次递减0.4分，最低得0分。</w:t>
            </w:r>
          </w:p>
        </w:tc>
        <w:tc>
          <w:tcPr>
            <w:tcW w:w="708" w:type="dxa"/>
            <w:tcBorders>
              <w:bottom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bottom w:val="single" w:color="auto" w:sz="4" w:space="0"/>
            </w:tcBorders>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根据软件运营过程中安全服务和后期技术咨询承诺情况评分，最优得标准分，其余依次递减0.4分，最低得0分。</w:t>
            </w:r>
          </w:p>
        </w:tc>
        <w:tc>
          <w:tcPr>
            <w:tcW w:w="708" w:type="dxa"/>
            <w:tcBorders>
              <w:bottom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top w:val="single" w:color="auto" w:sz="4" w:space="0"/>
              <w:bottom w:val="single" w:color="auto" w:sz="4" w:space="0"/>
            </w:tcBorders>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1.近三年企业售后服务未满足用户要求、未按承诺履行义务、被投诉的，每次得-1分。</w:t>
            </w:r>
          </w:p>
        </w:tc>
        <w:tc>
          <w:tcPr>
            <w:tcW w:w="708" w:type="dxa"/>
            <w:tcBorders>
              <w:top w:val="single" w:color="auto" w:sz="4" w:space="0"/>
              <w:bottom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陈老师、姚老师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023-68766150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且通过医院价格审核，确定该项目排名第一的报价方为该项目成交人。</w:t>
      </w:r>
      <w:r>
        <w:rPr>
          <w:rFonts w:hint="eastAsia" w:ascii="宋体" w:hAnsi="宋体" w:eastAsia="宋体" w:cs="宋体"/>
          <w:snapToGrid w:val="0"/>
          <w:kern w:val="0"/>
          <w:sz w:val="24"/>
          <w:szCs w:val="24"/>
        </w:rPr>
        <w:t>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285612603"/>
      <w:bookmarkStart w:id="16" w:name="_Toc37172690"/>
      <w:bookmarkStart w:id="17" w:name="_Toc390713969"/>
      <w:bookmarkStart w:id="18" w:name="_Toc43485654"/>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spacing w:line="360" w:lineRule="auto"/>
        <w:ind w:right="1212"/>
        <w:jc w:val="center"/>
        <w:rPr>
          <w:rFonts w:ascii="宋体" w:hAnsi="宋体"/>
          <w:b/>
          <w:bCs/>
          <w:szCs w:val="21"/>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hint="eastAsia" w:ascii="宋体" w:hAnsi="宋体"/>
          <w:b/>
          <w:bCs/>
          <w:szCs w:val="21"/>
        </w:rPr>
        <w:t xml:space="preserve">                   </w:t>
      </w:r>
      <w:r>
        <w:rPr>
          <w:rFonts w:hint="eastAsia" w:ascii="宋体" w:hAnsi="宋体"/>
          <w:sz w:val="18"/>
          <w:szCs w:val="18"/>
        </w:rPr>
        <w:t>合同编号：</w:t>
      </w:r>
      <w:r>
        <w:rPr>
          <w:rFonts w:hint="eastAsia" w:ascii="宋体" w:hAnsi="宋体"/>
          <w:sz w:val="18"/>
          <w:szCs w:val="18"/>
          <w:u w:val="single"/>
        </w:rPr>
        <w:t xml:space="preserve">                  </w:t>
      </w:r>
    </w:p>
    <w:p>
      <w:pPr>
        <w:spacing w:line="360" w:lineRule="auto"/>
        <w:jc w:val="center"/>
        <w:rPr>
          <w:rFonts w:ascii="宋体" w:hAnsi="宋体"/>
          <w:b/>
          <w:bCs/>
          <w:sz w:val="72"/>
          <w:szCs w:val="72"/>
        </w:rPr>
      </w:pPr>
    </w:p>
    <w:p>
      <w:pPr>
        <w:spacing w:line="360" w:lineRule="auto"/>
        <w:jc w:val="center"/>
        <w:rPr>
          <w:rFonts w:ascii="宋体" w:hAnsi="宋体"/>
          <w:b/>
          <w:bCs/>
          <w:sz w:val="72"/>
          <w:szCs w:val="72"/>
        </w:rPr>
      </w:pPr>
      <w:r>
        <w:rPr>
          <w:rFonts w:hint="eastAsia" w:ascii="宋体" w:hAnsi="宋体"/>
          <w:b/>
          <w:bCs/>
          <w:sz w:val="72"/>
          <w:szCs w:val="72"/>
        </w:rPr>
        <w:t>信息类项目合同书</w:t>
      </w:r>
    </w:p>
    <w:p>
      <w:pPr>
        <w:spacing w:line="360" w:lineRule="auto"/>
        <w:ind w:left="700" w:hanging="698" w:hangingChars="99"/>
        <w:jc w:val="center"/>
        <w:rPr>
          <w:rFonts w:ascii="宋体" w:hAnsi="宋体"/>
          <w:b/>
          <w:bCs/>
          <w:sz w:val="72"/>
          <w:szCs w:val="72"/>
        </w:rPr>
      </w:pPr>
    </w:p>
    <w:p>
      <w:pPr>
        <w:spacing w:line="360" w:lineRule="auto"/>
        <w:rPr>
          <w:rFonts w:ascii="宋体" w:hAnsi="宋体"/>
          <w:b/>
          <w:bCs/>
          <w:sz w:val="32"/>
          <w:szCs w:val="32"/>
        </w:rPr>
      </w:pPr>
    </w:p>
    <w:p>
      <w:pPr>
        <w:spacing w:line="360" w:lineRule="auto"/>
        <w:ind w:firstLine="854" w:firstLineChars="280"/>
        <w:rPr>
          <w:rFonts w:ascii="宋体" w:hAnsi="宋体"/>
          <w:b/>
          <w:bCs/>
          <w:sz w:val="32"/>
          <w:szCs w:val="32"/>
        </w:rPr>
      </w:pPr>
      <w:r>
        <w:rPr>
          <w:rFonts w:hint="eastAsia" w:ascii="宋体" w:hAnsi="宋体"/>
          <w:b/>
          <w:bCs/>
          <w:sz w:val="32"/>
          <w:szCs w:val="32"/>
        </w:rPr>
        <w:t xml:space="preserve">项目名称: </w:t>
      </w:r>
    </w:p>
    <w:p>
      <w:pPr>
        <w:spacing w:line="360" w:lineRule="auto"/>
        <w:ind w:firstLine="854" w:firstLineChars="280"/>
        <w:rPr>
          <w:rFonts w:ascii="宋体" w:hAnsi="宋体"/>
          <w:b/>
          <w:bCs/>
          <w:sz w:val="32"/>
          <w:szCs w:val="32"/>
        </w:rPr>
      </w:pPr>
      <w:r>
        <w:rPr>
          <w:rFonts w:hint="eastAsia" w:ascii="宋体" w:hAnsi="宋体"/>
          <w:b/>
          <w:bCs/>
          <w:sz w:val="32"/>
          <w:szCs w:val="32"/>
        </w:rPr>
        <w:t>项目编号:</w:t>
      </w:r>
    </w:p>
    <w:p>
      <w:pPr>
        <w:spacing w:line="360" w:lineRule="auto"/>
        <w:ind w:firstLine="854" w:firstLineChars="280"/>
        <w:rPr>
          <w:rFonts w:ascii="宋体" w:hAnsi="宋体"/>
          <w:b/>
          <w:bCs/>
          <w:sz w:val="32"/>
          <w:szCs w:val="32"/>
          <w:u w:val="single"/>
        </w:rPr>
      </w:pPr>
      <w:r>
        <w:rPr>
          <w:rFonts w:hint="eastAsia" w:ascii="宋体" w:hAnsi="宋体"/>
          <w:b/>
          <w:bCs/>
          <w:sz w:val="32"/>
          <w:szCs w:val="32"/>
        </w:rPr>
        <w:t>甲    方:</w:t>
      </w:r>
    </w:p>
    <w:p>
      <w:pPr>
        <w:spacing w:line="360" w:lineRule="auto"/>
        <w:ind w:firstLine="854" w:firstLineChars="280"/>
        <w:rPr>
          <w:rFonts w:ascii="宋体" w:hAnsi="宋体"/>
          <w:b/>
          <w:bCs/>
          <w:sz w:val="32"/>
          <w:szCs w:val="32"/>
          <w:u w:val="single"/>
        </w:rPr>
      </w:pPr>
      <w:r>
        <w:rPr>
          <w:rFonts w:hint="eastAsia" w:ascii="宋体" w:hAnsi="宋体"/>
          <w:b/>
          <w:bCs/>
          <w:sz w:val="32"/>
          <w:szCs w:val="32"/>
        </w:rPr>
        <w:t>乙    方:</w:t>
      </w:r>
    </w:p>
    <w:p>
      <w:pPr>
        <w:spacing w:line="360" w:lineRule="auto"/>
        <w:rPr>
          <w:rFonts w:ascii="宋体" w:hAnsi="宋体"/>
          <w:b/>
          <w:bCs/>
          <w:sz w:val="32"/>
          <w:szCs w:val="32"/>
        </w:rPr>
      </w:pPr>
    </w:p>
    <w:p>
      <w:pPr>
        <w:spacing w:line="360" w:lineRule="auto"/>
        <w:ind w:firstLine="2989" w:firstLineChars="980"/>
        <w:rPr>
          <w:rFonts w:ascii="宋体" w:hAnsi="宋体"/>
          <w:b/>
          <w:bCs/>
          <w:sz w:val="32"/>
          <w:szCs w:val="32"/>
        </w:rPr>
      </w:pPr>
    </w:p>
    <w:p>
      <w:pPr>
        <w:spacing w:line="360" w:lineRule="auto"/>
        <w:ind w:firstLine="2496" w:firstLineChars="1280"/>
        <w:rPr>
          <w:rFonts w:ascii="宋体" w:hAnsi="宋体"/>
          <w:bCs/>
        </w:rPr>
      </w:pPr>
      <w:r>
        <w:rPr>
          <w:rFonts w:hint="eastAsia" w:ascii="宋体" w:hAnsi="宋体"/>
          <w:bCs/>
        </w:rPr>
        <w:t>签署日期：   年   月   日</w:t>
      </w: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adjustRightInd w:val="0"/>
        <w:snapToGrid w:val="0"/>
        <w:spacing w:line="360" w:lineRule="auto"/>
        <w:jc w:val="left"/>
        <w:rPr>
          <w:sz w:val="24"/>
        </w:rPr>
      </w:pPr>
      <w:r>
        <w:rPr>
          <w:rFonts w:hint="eastAsia"/>
          <w:sz w:val="24"/>
        </w:rPr>
        <w:t>根据《中华人民共和国合同法》的有关规定，就甲方向乙方订购“</w:t>
      </w:r>
      <w:r>
        <w:rPr>
          <w:rFonts w:hint="eastAsia"/>
          <w:sz w:val="24"/>
          <w:u w:val="single"/>
        </w:rPr>
        <w:t xml:space="preserve">             </w:t>
      </w:r>
      <w:r>
        <w:rPr>
          <w:rFonts w:hint="eastAsia"/>
          <w:sz w:val="24"/>
        </w:rPr>
        <w:t>”，甲、乙双方在平等、自愿的基础上，经过充分协商一致，达成如下合同，以便共同遵守：</w:t>
      </w:r>
    </w:p>
    <w:p>
      <w:pPr>
        <w:spacing w:before="206" w:beforeLines="50" w:line="440" w:lineRule="exact"/>
        <w:rPr>
          <w:b/>
          <w:sz w:val="24"/>
        </w:rPr>
      </w:pPr>
      <w:r>
        <w:rPr>
          <w:rFonts w:hint="eastAsia"/>
          <w:b/>
          <w:sz w:val="24"/>
        </w:rPr>
        <w:t>一、产品</w:t>
      </w:r>
      <w:r>
        <w:rPr>
          <w:rFonts w:hint="eastAsia" w:ascii="宋体" w:hAnsi="宋体"/>
          <w:b/>
          <w:color w:val="000000"/>
          <w:sz w:val="24"/>
        </w:rPr>
        <w:t>清单列表</w:t>
      </w:r>
    </w:p>
    <w:tbl>
      <w:tblPr>
        <w:tblStyle w:val="18"/>
        <w:tblW w:w="99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984"/>
        <w:gridCol w:w="709"/>
        <w:gridCol w:w="1559"/>
        <w:gridCol w:w="1134"/>
        <w:gridCol w:w="1276"/>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86" w:type="dxa"/>
            <w:vAlign w:val="center"/>
          </w:tcPr>
          <w:p>
            <w:pPr>
              <w:spacing w:line="360" w:lineRule="auto"/>
              <w:jc w:val="center"/>
              <w:rPr>
                <w:rFonts w:ascii="宋体" w:hAnsi="宋体"/>
                <w:sz w:val="24"/>
              </w:rPr>
            </w:pPr>
            <w:r>
              <w:rPr>
                <w:rFonts w:hint="eastAsia" w:ascii="宋体" w:hAnsi="宋体"/>
                <w:sz w:val="24"/>
              </w:rPr>
              <w:t>产品</w:t>
            </w:r>
            <w:r>
              <w:rPr>
                <w:rFonts w:ascii="宋体" w:hAnsi="宋体"/>
                <w:sz w:val="24"/>
              </w:rPr>
              <w:t>名称</w:t>
            </w:r>
          </w:p>
        </w:tc>
        <w:tc>
          <w:tcPr>
            <w:tcW w:w="1984" w:type="dxa"/>
            <w:vAlign w:val="center"/>
          </w:tcPr>
          <w:p>
            <w:pPr>
              <w:spacing w:line="360" w:lineRule="auto"/>
              <w:jc w:val="center"/>
              <w:rPr>
                <w:rFonts w:ascii="宋体" w:hAnsi="宋体"/>
                <w:sz w:val="24"/>
              </w:rPr>
            </w:pPr>
            <w:r>
              <w:rPr>
                <w:rFonts w:ascii="宋体" w:hAnsi="宋体"/>
                <w:sz w:val="24"/>
              </w:rPr>
              <w:t>规格型号</w:t>
            </w:r>
          </w:p>
        </w:tc>
        <w:tc>
          <w:tcPr>
            <w:tcW w:w="709" w:type="dxa"/>
            <w:vAlign w:val="center"/>
          </w:tcPr>
          <w:p>
            <w:pPr>
              <w:spacing w:line="360" w:lineRule="auto"/>
              <w:jc w:val="center"/>
              <w:rPr>
                <w:rFonts w:ascii="宋体" w:hAnsi="宋体"/>
                <w:sz w:val="24"/>
              </w:rPr>
            </w:pPr>
            <w:r>
              <w:rPr>
                <w:rFonts w:ascii="宋体" w:hAnsi="宋体"/>
                <w:sz w:val="24"/>
              </w:rPr>
              <w:t>数量</w:t>
            </w:r>
          </w:p>
        </w:tc>
        <w:tc>
          <w:tcPr>
            <w:tcW w:w="1559" w:type="dxa"/>
            <w:vAlign w:val="center"/>
          </w:tcPr>
          <w:p>
            <w:pPr>
              <w:spacing w:line="360" w:lineRule="auto"/>
              <w:jc w:val="center"/>
              <w:rPr>
                <w:rFonts w:ascii="宋体" w:hAnsi="宋体"/>
                <w:sz w:val="24"/>
              </w:rPr>
            </w:pPr>
            <w:r>
              <w:rPr>
                <w:rFonts w:ascii="宋体" w:hAnsi="宋体"/>
                <w:sz w:val="24"/>
              </w:rPr>
              <w:t>单价</w:t>
            </w:r>
          </w:p>
        </w:tc>
        <w:tc>
          <w:tcPr>
            <w:tcW w:w="1134" w:type="dxa"/>
            <w:vAlign w:val="center"/>
          </w:tcPr>
          <w:p>
            <w:pPr>
              <w:spacing w:line="360" w:lineRule="auto"/>
              <w:jc w:val="center"/>
              <w:rPr>
                <w:rFonts w:ascii="宋体" w:hAnsi="宋体"/>
                <w:sz w:val="24"/>
              </w:rPr>
            </w:pPr>
            <w:r>
              <w:rPr>
                <w:rFonts w:ascii="宋体" w:hAnsi="宋体"/>
                <w:sz w:val="24"/>
              </w:rPr>
              <w:t>总价</w:t>
            </w:r>
          </w:p>
        </w:tc>
        <w:tc>
          <w:tcPr>
            <w:tcW w:w="1276" w:type="dxa"/>
            <w:vAlign w:val="center"/>
          </w:tcPr>
          <w:p>
            <w:pPr>
              <w:spacing w:line="360" w:lineRule="auto"/>
              <w:jc w:val="center"/>
              <w:rPr>
                <w:rFonts w:ascii="宋体" w:hAnsi="宋体"/>
                <w:sz w:val="24"/>
              </w:rPr>
            </w:pPr>
            <w:r>
              <w:rPr>
                <w:rFonts w:ascii="宋体" w:hAnsi="宋体"/>
                <w:sz w:val="24"/>
              </w:rPr>
              <w:t>交货时间</w:t>
            </w:r>
          </w:p>
        </w:tc>
        <w:tc>
          <w:tcPr>
            <w:tcW w:w="1298" w:type="dxa"/>
            <w:vAlign w:val="center"/>
          </w:tcPr>
          <w:p>
            <w:pPr>
              <w:spacing w:line="360" w:lineRule="auto"/>
              <w:jc w:val="center"/>
              <w:rPr>
                <w:rFonts w:ascii="宋体" w:hAnsi="宋体"/>
                <w:sz w:val="24"/>
              </w:rPr>
            </w:pPr>
            <w:r>
              <w:rPr>
                <w:rFonts w:ascii="宋体" w:hAnsi="宋体"/>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pPr>
              <w:spacing w:line="360" w:lineRule="auto"/>
              <w:rPr>
                <w:rFonts w:ascii="宋体" w:hAnsi="宋体"/>
                <w:sz w:val="24"/>
              </w:rPr>
            </w:pPr>
          </w:p>
        </w:tc>
        <w:tc>
          <w:tcPr>
            <w:tcW w:w="1984" w:type="dxa"/>
            <w:vAlign w:val="center"/>
          </w:tcPr>
          <w:p>
            <w:pPr>
              <w:spacing w:line="360" w:lineRule="auto"/>
              <w:jc w:val="left"/>
              <w:rPr>
                <w:rFonts w:ascii="宋体" w:hAnsi="宋体"/>
                <w:sz w:val="24"/>
              </w:rPr>
            </w:pPr>
          </w:p>
        </w:tc>
        <w:tc>
          <w:tcPr>
            <w:tcW w:w="709"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276" w:type="dxa"/>
            <w:vMerge w:val="restart"/>
            <w:vAlign w:val="center"/>
          </w:tcPr>
          <w:p>
            <w:pPr>
              <w:spacing w:line="360" w:lineRule="auto"/>
              <w:rPr>
                <w:rFonts w:ascii="宋体" w:hAnsi="宋体"/>
                <w:sz w:val="24"/>
              </w:rPr>
            </w:pPr>
          </w:p>
        </w:tc>
        <w:tc>
          <w:tcPr>
            <w:tcW w:w="1298" w:type="dxa"/>
            <w:vMerge w:val="restart"/>
            <w:vAlign w:val="center"/>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pPr>
              <w:spacing w:line="360" w:lineRule="auto"/>
              <w:rPr>
                <w:rFonts w:ascii="宋体" w:hAnsi="宋体"/>
                <w:sz w:val="24"/>
              </w:rPr>
            </w:pPr>
          </w:p>
        </w:tc>
        <w:tc>
          <w:tcPr>
            <w:tcW w:w="1984" w:type="dxa"/>
            <w:vAlign w:val="center"/>
          </w:tcPr>
          <w:p>
            <w:pPr>
              <w:spacing w:line="360" w:lineRule="auto"/>
              <w:rPr>
                <w:rFonts w:ascii="宋体" w:hAnsi="宋体"/>
                <w:sz w:val="24"/>
              </w:rPr>
            </w:pPr>
          </w:p>
        </w:tc>
        <w:tc>
          <w:tcPr>
            <w:tcW w:w="709"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276" w:type="dxa"/>
            <w:vMerge w:val="continue"/>
            <w:vAlign w:val="center"/>
          </w:tcPr>
          <w:p>
            <w:pPr>
              <w:spacing w:line="360" w:lineRule="auto"/>
              <w:rPr>
                <w:rFonts w:ascii="宋体" w:hAnsi="宋体"/>
                <w:sz w:val="24"/>
              </w:rPr>
            </w:pPr>
          </w:p>
        </w:tc>
        <w:tc>
          <w:tcPr>
            <w:tcW w:w="1298"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986" w:type="dxa"/>
            <w:vAlign w:val="center"/>
          </w:tcPr>
          <w:p>
            <w:pPr>
              <w:spacing w:line="360" w:lineRule="auto"/>
              <w:rPr>
                <w:rFonts w:ascii="宋体" w:hAnsi="宋体"/>
                <w:sz w:val="24"/>
              </w:rPr>
            </w:pPr>
          </w:p>
        </w:tc>
        <w:tc>
          <w:tcPr>
            <w:tcW w:w="1984" w:type="dxa"/>
            <w:vAlign w:val="center"/>
          </w:tcPr>
          <w:p>
            <w:pPr>
              <w:spacing w:line="360" w:lineRule="auto"/>
              <w:rPr>
                <w:rFonts w:ascii="宋体" w:hAnsi="宋体"/>
                <w:sz w:val="24"/>
              </w:rPr>
            </w:pPr>
          </w:p>
        </w:tc>
        <w:tc>
          <w:tcPr>
            <w:tcW w:w="709"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276" w:type="dxa"/>
            <w:vMerge w:val="continue"/>
            <w:vAlign w:val="center"/>
          </w:tcPr>
          <w:p>
            <w:pPr>
              <w:spacing w:line="360" w:lineRule="auto"/>
              <w:rPr>
                <w:rFonts w:ascii="宋体" w:hAnsi="宋体"/>
                <w:sz w:val="24"/>
              </w:rPr>
            </w:pPr>
          </w:p>
        </w:tc>
        <w:tc>
          <w:tcPr>
            <w:tcW w:w="1298"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9946" w:type="dxa"/>
            <w:gridSpan w:val="7"/>
            <w:vAlign w:val="center"/>
          </w:tcPr>
          <w:p>
            <w:pPr>
              <w:spacing w:line="360" w:lineRule="auto"/>
              <w:rPr>
                <w:rFonts w:ascii="宋体" w:hAnsi="宋体"/>
                <w:sz w:val="24"/>
              </w:rPr>
            </w:pPr>
            <w:r>
              <w:rPr>
                <w:rFonts w:ascii="宋体" w:hAnsi="宋体"/>
                <w:sz w:val="24"/>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46" w:type="dxa"/>
            <w:gridSpan w:val="7"/>
            <w:vAlign w:val="center"/>
          </w:tcPr>
          <w:p>
            <w:pPr>
              <w:spacing w:line="360" w:lineRule="auto"/>
              <w:rPr>
                <w:rFonts w:ascii="宋体" w:hAnsi="宋体"/>
                <w:sz w:val="24"/>
              </w:rPr>
            </w:pPr>
            <w:r>
              <w:rPr>
                <w:rFonts w:ascii="宋体" w:hAnsi="宋体"/>
                <w:sz w:val="24"/>
              </w:rPr>
              <w:t xml:space="preserve">合计人民币（大写）：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46" w:type="dxa"/>
            <w:gridSpan w:val="7"/>
            <w:vAlign w:val="center"/>
          </w:tcPr>
          <w:p>
            <w:pPr>
              <w:spacing w:line="360" w:lineRule="auto"/>
              <w:rPr>
                <w:rFonts w:ascii="宋体" w:hAnsi="宋体"/>
                <w:sz w:val="24"/>
              </w:rPr>
            </w:pPr>
            <w:r>
              <w:rPr>
                <w:rFonts w:hint="eastAsia" w:ascii="宋体" w:hAnsi="宋体"/>
                <w:sz w:val="24"/>
              </w:rPr>
              <w:t>备注：具体配置请详见附件</w:t>
            </w:r>
          </w:p>
        </w:tc>
      </w:tr>
    </w:tbl>
    <w:p>
      <w:pPr>
        <w:spacing w:line="440" w:lineRule="exact"/>
        <w:rPr>
          <w:rFonts w:ascii="宋体" w:hAnsi="宋体"/>
          <w:sz w:val="24"/>
        </w:rPr>
      </w:pPr>
    </w:p>
    <w:p>
      <w:pPr>
        <w:spacing w:line="440" w:lineRule="exact"/>
        <w:rPr>
          <w:b/>
          <w:sz w:val="24"/>
        </w:rPr>
      </w:pPr>
      <w:bookmarkStart w:id="19" w:name="_Toc86481558"/>
      <w:r>
        <w:rPr>
          <w:rFonts w:hint="eastAsia"/>
          <w:b/>
          <w:sz w:val="24"/>
        </w:rPr>
        <w:t>二、</w:t>
      </w:r>
      <w:bookmarkEnd w:id="19"/>
      <w:r>
        <w:rPr>
          <w:rFonts w:hint="eastAsia"/>
          <w:b/>
          <w:sz w:val="24"/>
        </w:rPr>
        <w:t>交货期</w:t>
      </w:r>
    </w:p>
    <w:p>
      <w:pPr>
        <w:adjustRightInd w:val="0"/>
        <w:snapToGrid w:val="0"/>
        <w:spacing w:line="360" w:lineRule="auto"/>
        <w:ind w:firstLine="540"/>
        <w:rPr>
          <w:rFonts w:ascii="宋体" w:hAnsi="宋体"/>
          <w:sz w:val="24"/>
        </w:rPr>
      </w:pPr>
      <w:r>
        <w:rPr>
          <w:rFonts w:hint="eastAsia" w:ascii="宋体" w:hAnsi="宋体"/>
          <w:sz w:val="24"/>
        </w:rPr>
        <w:t>合同签订后</w:t>
      </w:r>
      <w:r>
        <w:rPr>
          <w:rFonts w:hint="eastAsia" w:ascii="宋体" w:hAnsi="宋体"/>
          <w:sz w:val="24"/>
          <w:u w:val="single"/>
        </w:rPr>
        <w:t xml:space="preserve">          </w:t>
      </w:r>
      <w:r>
        <w:rPr>
          <w:rFonts w:hint="eastAsia" w:ascii="宋体" w:hAnsi="宋体"/>
          <w:sz w:val="24"/>
        </w:rPr>
        <w:t>天内完成</w:t>
      </w:r>
      <w:r>
        <w:rPr>
          <w:rFonts w:ascii="宋体" w:hAnsi="宋体"/>
          <w:sz w:val="24"/>
        </w:rPr>
        <w:t>交货并完成安装调试</w:t>
      </w:r>
      <w:r>
        <w:rPr>
          <w:rFonts w:hint="eastAsia" w:ascii="宋体" w:hAnsi="宋体"/>
          <w:sz w:val="24"/>
        </w:rPr>
        <w:t>。</w:t>
      </w:r>
    </w:p>
    <w:p>
      <w:pPr>
        <w:adjustRightInd w:val="0"/>
        <w:snapToGrid w:val="0"/>
        <w:spacing w:line="360" w:lineRule="auto"/>
        <w:ind w:firstLine="540"/>
        <w:rPr>
          <w:rFonts w:ascii="宋体" w:hAnsi="宋体"/>
          <w:sz w:val="24"/>
        </w:rPr>
      </w:pPr>
    </w:p>
    <w:p>
      <w:pPr>
        <w:spacing w:line="440" w:lineRule="exact"/>
        <w:rPr>
          <w:b/>
          <w:sz w:val="24"/>
        </w:rPr>
      </w:pPr>
      <w:bookmarkStart w:id="20" w:name="_Toc86481561"/>
      <w:r>
        <w:rPr>
          <w:rFonts w:hint="eastAsia"/>
          <w:b/>
          <w:sz w:val="24"/>
        </w:rPr>
        <w:t>三、</w:t>
      </w:r>
      <w:bookmarkEnd w:id="20"/>
      <w:r>
        <w:rPr>
          <w:rFonts w:hint="eastAsia"/>
          <w:b/>
          <w:sz w:val="24"/>
        </w:rPr>
        <w:t>原厂质保期</w:t>
      </w:r>
    </w:p>
    <w:p>
      <w:pPr>
        <w:pStyle w:val="16"/>
        <w:tabs>
          <w:tab w:val="left" w:pos="645"/>
          <w:tab w:val="clear" w:pos="916"/>
        </w:tabs>
        <w:adjustRightInd w:val="0"/>
        <w:snapToGrid w:val="0"/>
        <w:spacing w:line="360" w:lineRule="auto"/>
        <w:ind w:firstLine="450" w:firstLineChars="200"/>
        <w:rPr>
          <w:rFonts w:ascii="宋体" w:hAnsi="宋体" w:eastAsia="宋体"/>
          <w:kern w:val="2"/>
          <w:sz w:val="24"/>
          <w:szCs w:val="24"/>
          <w:u w:val="single"/>
        </w:rPr>
      </w:pPr>
      <w:r>
        <w:rPr>
          <w:rFonts w:hint="eastAsia" w:ascii="宋体" w:hAnsi="宋体" w:eastAsia="宋体"/>
          <w:kern w:val="2"/>
          <w:sz w:val="24"/>
          <w:szCs w:val="24"/>
        </w:rPr>
        <w:t>质保期：</w:t>
      </w:r>
      <w:r>
        <w:rPr>
          <w:rFonts w:hint="eastAsia" w:ascii="宋体" w:hAnsi="宋体" w:eastAsia="宋体"/>
          <w:kern w:val="2"/>
          <w:sz w:val="24"/>
          <w:szCs w:val="24"/>
          <w:u w:val="single"/>
        </w:rPr>
        <w:t xml:space="preserve">             </w:t>
      </w:r>
    </w:p>
    <w:p>
      <w:pPr>
        <w:pStyle w:val="16"/>
        <w:tabs>
          <w:tab w:val="left" w:pos="645"/>
          <w:tab w:val="clear" w:pos="916"/>
        </w:tabs>
        <w:adjustRightInd w:val="0"/>
        <w:snapToGrid w:val="0"/>
        <w:spacing w:line="360" w:lineRule="auto"/>
        <w:ind w:firstLine="450" w:firstLineChars="200"/>
        <w:rPr>
          <w:rFonts w:ascii="宋体" w:hAnsi="宋体" w:eastAsia="宋体"/>
          <w:kern w:val="2"/>
          <w:sz w:val="24"/>
          <w:szCs w:val="24"/>
          <w:u w:val="single"/>
        </w:rPr>
      </w:pPr>
    </w:p>
    <w:p>
      <w:pPr>
        <w:spacing w:line="440" w:lineRule="exact"/>
        <w:rPr>
          <w:b/>
          <w:sz w:val="24"/>
        </w:rPr>
      </w:pPr>
      <w:bookmarkStart w:id="21" w:name="_Toc86481563"/>
      <w:r>
        <w:rPr>
          <w:rFonts w:hint="eastAsia"/>
          <w:b/>
          <w:sz w:val="24"/>
        </w:rPr>
        <w:t>四、</w:t>
      </w:r>
      <w:bookmarkEnd w:id="21"/>
      <w:r>
        <w:rPr>
          <w:rFonts w:hint="eastAsia"/>
          <w:b/>
          <w:sz w:val="24"/>
        </w:rPr>
        <w:t>验收</w:t>
      </w:r>
    </w:p>
    <w:p>
      <w:pPr>
        <w:pStyle w:val="16"/>
        <w:tabs>
          <w:tab w:val="left" w:pos="645"/>
          <w:tab w:val="clear" w:pos="916"/>
        </w:tabs>
        <w:adjustRightInd w:val="0"/>
        <w:snapToGrid w:val="0"/>
        <w:spacing w:line="360" w:lineRule="auto"/>
        <w:ind w:firstLine="450" w:firstLineChars="200"/>
        <w:rPr>
          <w:rFonts w:ascii="宋体" w:hAnsi="宋体" w:eastAsia="宋体"/>
          <w:kern w:val="2"/>
          <w:sz w:val="24"/>
          <w:szCs w:val="24"/>
        </w:rPr>
      </w:pPr>
      <w:r>
        <w:rPr>
          <w:rFonts w:hint="eastAsia" w:ascii="宋体" w:hAnsi="宋体" w:eastAsia="宋体"/>
          <w:kern w:val="2"/>
          <w:sz w:val="24"/>
          <w:szCs w:val="24"/>
        </w:rPr>
        <w:t>安装调试完成</w:t>
      </w:r>
      <w:r>
        <w:rPr>
          <w:rFonts w:hint="eastAsia" w:ascii="宋体" w:hAnsi="宋体" w:eastAsia="宋体"/>
          <w:kern w:val="2"/>
          <w:sz w:val="24"/>
          <w:szCs w:val="24"/>
          <w:u w:val="single"/>
        </w:rPr>
        <w:t>10</w:t>
      </w:r>
      <w:r>
        <w:rPr>
          <w:rFonts w:hint="eastAsia" w:ascii="宋体" w:hAnsi="宋体" w:eastAsia="宋体"/>
          <w:kern w:val="2"/>
          <w:sz w:val="24"/>
          <w:szCs w:val="24"/>
        </w:rPr>
        <w:t>日后甲方组织相关人员进行验收，验收报告由甲方签字，乙方需出具相关硬件技术资料、文档给甲方。</w:t>
      </w:r>
    </w:p>
    <w:p>
      <w:pPr>
        <w:spacing w:line="440" w:lineRule="exact"/>
        <w:rPr>
          <w:b/>
          <w:sz w:val="24"/>
        </w:rPr>
      </w:pPr>
      <w:bookmarkStart w:id="22" w:name="_Toc39653413"/>
      <w:bookmarkStart w:id="23" w:name="_Toc39653189"/>
      <w:r>
        <w:rPr>
          <w:rFonts w:hint="eastAsia"/>
          <w:b/>
          <w:sz w:val="24"/>
        </w:rPr>
        <w:t>五、付款方式</w:t>
      </w:r>
      <w:bookmarkEnd w:id="22"/>
      <w:bookmarkEnd w:id="23"/>
    </w:p>
    <w:p>
      <w:pPr>
        <w:adjustRightInd w:val="0"/>
        <w:snapToGrid w:val="0"/>
        <w:spacing w:line="360" w:lineRule="auto"/>
        <w:ind w:firstLine="450" w:firstLineChars="200"/>
        <w:rPr>
          <w:rFonts w:ascii="宋体" w:hAnsi="宋体"/>
          <w:sz w:val="24"/>
        </w:rPr>
      </w:pPr>
      <w:r>
        <w:rPr>
          <w:rFonts w:hint="eastAsia" w:ascii="宋体" w:hAnsi="宋体"/>
          <w:sz w:val="24"/>
        </w:rPr>
        <w:t>甲方验收合格后，依据验收表和发票，甲方在两个月内向乙方支付合同总额的95%，即</w:t>
      </w:r>
      <w:r>
        <w:rPr>
          <w:rFonts w:hint="eastAsia" w:ascii="宋体" w:hAnsi="宋体"/>
          <w:sz w:val="24"/>
          <w:u w:val="single"/>
        </w:rPr>
        <w:t xml:space="preserve">          万元</w:t>
      </w:r>
      <w:r>
        <w:rPr>
          <w:rFonts w:hint="eastAsia" w:ascii="宋体" w:hAnsi="宋体"/>
          <w:sz w:val="24"/>
        </w:rPr>
        <w:t>，大写</w:t>
      </w:r>
      <w:r>
        <w:rPr>
          <w:rFonts w:hint="eastAsia" w:ascii="宋体" w:hAnsi="宋体"/>
          <w:sz w:val="24"/>
          <w:u w:val="single"/>
        </w:rPr>
        <w:t>人民币                 元整</w:t>
      </w:r>
      <w:r>
        <w:rPr>
          <w:rFonts w:hint="eastAsia" w:ascii="宋体" w:hAnsi="宋体"/>
          <w:sz w:val="24"/>
        </w:rPr>
        <w:t>，余5%即</w:t>
      </w:r>
      <w:r>
        <w:rPr>
          <w:rFonts w:hint="eastAsia" w:ascii="宋体" w:hAnsi="宋体"/>
          <w:sz w:val="24"/>
          <w:u w:val="single"/>
        </w:rPr>
        <w:t xml:space="preserve">           万元</w:t>
      </w:r>
      <w:r>
        <w:rPr>
          <w:rFonts w:hint="eastAsia" w:ascii="宋体" w:hAnsi="宋体"/>
          <w:sz w:val="24"/>
        </w:rPr>
        <w:t>，大写</w:t>
      </w:r>
      <w:r>
        <w:rPr>
          <w:rFonts w:hint="eastAsia" w:ascii="宋体" w:hAnsi="宋体"/>
          <w:sz w:val="24"/>
          <w:u w:val="single"/>
        </w:rPr>
        <w:t>人民币               元整</w:t>
      </w:r>
      <w:r>
        <w:rPr>
          <w:rFonts w:hint="eastAsia" w:ascii="宋体" w:hAnsi="宋体"/>
          <w:sz w:val="24"/>
        </w:rPr>
        <w:t>，作为质保金质保期满后支付。</w:t>
      </w:r>
    </w:p>
    <w:p>
      <w:pPr>
        <w:adjustRightInd w:val="0"/>
        <w:snapToGrid w:val="0"/>
        <w:spacing w:line="360" w:lineRule="auto"/>
        <w:rPr>
          <w:rFonts w:ascii="宋体" w:hAnsi="宋体"/>
          <w:sz w:val="24"/>
        </w:rPr>
      </w:pPr>
    </w:p>
    <w:p>
      <w:pPr>
        <w:spacing w:line="440" w:lineRule="exact"/>
        <w:rPr>
          <w:b/>
          <w:sz w:val="24"/>
        </w:rPr>
      </w:pPr>
      <w:bookmarkStart w:id="24" w:name="_Toc39653414"/>
      <w:bookmarkStart w:id="25" w:name="_Toc39653190"/>
      <w:r>
        <w:rPr>
          <w:rFonts w:hint="eastAsia"/>
          <w:b/>
          <w:sz w:val="24"/>
        </w:rPr>
        <w:t>六、售后服务</w:t>
      </w:r>
      <w:bookmarkEnd w:id="24"/>
      <w:bookmarkEnd w:id="25"/>
    </w:p>
    <w:p>
      <w:pPr>
        <w:adjustRightInd w:val="0"/>
        <w:snapToGrid w:val="0"/>
        <w:spacing w:line="360" w:lineRule="auto"/>
        <w:ind w:firstLine="450" w:firstLineChars="200"/>
        <w:rPr>
          <w:rFonts w:ascii="宋体" w:hAnsi="宋体"/>
          <w:sz w:val="24"/>
        </w:rPr>
      </w:pPr>
      <w:r>
        <w:rPr>
          <w:rFonts w:hint="eastAsia" w:ascii="宋体" w:hAnsi="宋体"/>
          <w:sz w:val="24"/>
        </w:rPr>
        <w:t>免费保修按原厂商保修条款执行，保修日期从 验收之日 起计算，质保期限为          年。保修期内出现质量问题，由乙方负责免费维修。</w:t>
      </w:r>
    </w:p>
    <w:p>
      <w:pPr>
        <w:adjustRightInd w:val="0"/>
        <w:snapToGrid w:val="0"/>
        <w:spacing w:line="360" w:lineRule="auto"/>
        <w:ind w:firstLine="450" w:firstLineChars="200"/>
        <w:rPr>
          <w:rFonts w:ascii="宋体" w:hAnsi="宋体"/>
          <w:sz w:val="24"/>
        </w:rPr>
      </w:pPr>
      <w:r>
        <w:rPr>
          <w:rFonts w:hint="eastAsia" w:ascii="宋体" w:hAnsi="宋体"/>
          <w:sz w:val="24"/>
        </w:rPr>
        <w:t>质保期内出现质量问题，乙方在接到通知后</w:t>
      </w:r>
      <w:r>
        <w:rPr>
          <w:rFonts w:hint="eastAsia" w:ascii="宋体" w:hAnsi="宋体"/>
          <w:sz w:val="24"/>
          <w:u w:val="single"/>
        </w:rPr>
        <w:t xml:space="preserve">        </w:t>
      </w:r>
      <w:r>
        <w:rPr>
          <w:rFonts w:hint="eastAsia" w:ascii="宋体" w:hAnsi="宋体"/>
          <w:sz w:val="24"/>
        </w:rPr>
        <w:t>内响应，</w:t>
      </w:r>
      <w:r>
        <w:rPr>
          <w:rFonts w:hint="eastAsia" w:ascii="宋体" w:hAnsi="宋体"/>
          <w:sz w:val="24"/>
          <w:u w:val="single"/>
        </w:rPr>
        <w:t xml:space="preserve">      </w:t>
      </w:r>
      <w:r>
        <w:rPr>
          <w:rFonts w:hint="eastAsia" w:ascii="宋体" w:hAnsi="宋体"/>
          <w:sz w:val="24"/>
        </w:rPr>
        <w:t>小时内到场，乙方负责维修或更换，并承担修理调换的费用(含保修期内所更换零部件费用)，人为损坏不在保修范围内。</w:t>
      </w:r>
    </w:p>
    <w:p>
      <w:pPr>
        <w:adjustRightInd w:val="0"/>
        <w:snapToGrid w:val="0"/>
        <w:spacing w:line="360" w:lineRule="auto"/>
        <w:rPr>
          <w:rFonts w:ascii="宋体" w:hAnsi="宋体"/>
          <w:color w:val="000000"/>
          <w:sz w:val="24"/>
        </w:rPr>
      </w:pPr>
    </w:p>
    <w:p>
      <w:pPr>
        <w:spacing w:line="440" w:lineRule="exact"/>
        <w:rPr>
          <w:b/>
          <w:sz w:val="24"/>
        </w:rPr>
      </w:pPr>
      <w:bookmarkStart w:id="26" w:name="_Toc39653415"/>
      <w:bookmarkStart w:id="27" w:name="_Toc39653191"/>
      <w:r>
        <w:rPr>
          <w:rFonts w:hint="eastAsia"/>
          <w:b/>
          <w:sz w:val="24"/>
        </w:rPr>
        <w:t>七、双方的权利和义务</w:t>
      </w:r>
      <w:bookmarkEnd w:id="26"/>
      <w:bookmarkEnd w:id="27"/>
    </w:p>
    <w:p>
      <w:pPr>
        <w:adjustRightInd w:val="0"/>
        <w:snapToGrid w:val="0"/>
        <w:spacing w:line="360" w:lineRule="auto"/>
        <w:ind w:firstLine="450" w:firstLineChars="200"/>
        <w:rPr>
          <w:rFonts w:ascii="宋体" w:hAnsi="宋体"/>
          <w:sz w:val="24"/>
        </w:rPr>
      </w:pPr>
      <w:r>
        <w:rPr>
          <w:rFonts w:hint="eastAsia" w:ascii="宋体" w:hAnsi="宋体"/>
          <w:sz w:val="24"/>
        </w:rPr>
        <w:t>1.双方一致同意：在甲方未支付货款的95%之前，本合同项下产品的所有权归乙方所有；</w:t>
      </w:r>
    </w:p>
    <w:p>
      <w:pPr>
        <w:adjustRightInd w:val="0"/>
        <w:snapToGrid w:val="0"/>
        <w:spacing w:line="360" w:lineRule="auto"/>
        <w:ind w:firstLine="450" w:firstLineChars="200"/>
        <w:rPr>
          <w:rFonts w:ascii="宋体" w:hAnsi="宋体"/>
          <w:sz w:val="24"/>
        </w:rPr>
      </w:pPr>
      <w:r>
        <w:rPr>
          <w:rFonts w:hint="eastAsia" w:ascii="宋体" w:hAnsi="宋体"/>
          <w:sz w:val="24"/>
        </w:rPr>
        <w:t>2.产品的运输及保险全部由乙方负责。乙方须采取适于安全、准时完成本合同项下义务的运输措施，将产品运至甲方指定的到货地点；</w:t>
      </w:r>
    </w:p>
    <w:p>
      <w:pPr>
        <w:adjustRightInd w:val="0"/>
        <w:snapToGrid w:val="0"/>
        <w:spacing w:line="360" w:lineRule="auto"/>
        <w:ind w:firstLine="450" w:firstLineChars="200"/>
        <w:rPr>
          <w:rFonts w:ascii="宋体" w:hAnsi="宋体"/>
          <w:sz w:val="24"/>
        </w:rPr>
      </w:pPr>
      <w:r>
        <w:rPr>
          <w:rFonts w:hint="eastAsia" w:ascii="宋体" w:hAnsi="宋体"/>
          <w:sz w:val="24"/>
        </w:rPr>
        <w:t>3.双方一致同意：本合同项下产品毁损、灭失的风险，在乙方交付产品后，由甲方承担。</w:t>
      </w:r>
    </w:p>
    <w:p>
      <w:pPr>
        <w:pStyle w:val="16"/>
        <w:adjustRightInd w:val="0"/>
        <w:snapToGrid w:val="0"/>
        <w:spacing w:line="360" w:lineRule="auto"/>
        <w:ind w:firstLine="450" w:firstLineChars="200"/>
        <w:rPr>
          <w:rFonts w:ascii="宋体" w:hAnsi="宋体" w:eastAsia="宋体"/>
          <w:b/>
          <w:color w:val="000000"/>
          <w:sz w:val="24"/>
          <w:szCs w:val="24"/>
        </w:rPr>
      </w:pPr>
    </w:p>
    <w:p>
      <w:pPr>
        <w:spacing w:line="440" w:lineRule="exact"/>
        <w:rPr>
          <w:b/>
          <w:sz w:val="24"/>
        </w:rPr>
      </w:pPr>
      <w:bookmarkStart w:id="28" w:name="_Toc39653416"/>
      <w:bookmarkStart w:id="29" w:name="_Toc39653192"/>
      <w:r>
        <w:rPr>
          <w:rFonts w:hint="eastAsia"/>
          <w:b/>
          <w:sz w:val="24"/>
        </w:rPr>
        <w:t>八、违约责任</w:t>
      </w:r>
      <w:bookmarkEnd w:id="28"/>
      <w:bookmarkEnd w:id="29"/>
    </w:p>
    <w:p>
      <w:pPr>
        <w:adjustRightInd w:val="0"/>
        <w:snapToGrid w:val="0"/>
        <w:spacing w:line="360" w:lineRule="auto"/>
        <w:ind w:firstLine="450" w:firstLineChars="200"/>
        <w:rPr>
          <w:rFonts w:ascii="宋体" w:hAnsi="宋体"/>
          <w:sz w:val="24"/>
        </w:rPr>
      </w:pPr>
      <w:r>
        <w:rPr>
          <w:rFonts w:hint="eastAsia" w:ascii="宋体" w:hAnsi="宋体"/>
          <w:sz w:val="24"/>
        </w:rPr>
        <w:t>本合同生效后，除不可抗外力影响，双方均不得任意理由终止合同。如单方违约，违约方应承担违约金为本合同的20%。</w:t>
      </w:r>
    </w:p>
    <w:p>
      <w:pPr>
        <w:pStyle w:val="16"/>
        <w:adjustRightInd w:val="0"/>
        <w:snapToGrid w:val="0"/>
        <w:spacing w:line="360" w:lineRule="auto"/>
        <w:rPr>
          <w:rFonts w:ascii="宋体" w:hAnsi="宋体" w:eastAsia="宋体"/>
          <w:color w:val="000000"/>
          <w:sz w:val="24"/>
          <w:szCs w:val="24"/>
        </w:rPr>
      </w:pPr>
      <w:r>
        <w:rPr>
          <w:rFonts w:ascii="宋体" w:hAnsi="宋体" w:eastAsia="宋体"/>
          <w:color w:val="000000"/>
          <w:sz w:val="24"/>
          <w:szCs w:val="24"/>
        </w:rPr>
        <w:t xml:space="preserve"> </w:t>
      </w:r>
    </w:p>
    <w:p>
      <w:pPr>
        <w:spacing w:line="440" w:lineRule="exact"/>
        <w:rPr>
          <w:b/>
          <w:sz w:val="24"/>
        </w:rPr>
      </w:pPr>
      <w:bookmarkStart w:id="30" w:name="_Toc39653193"/>
      <w:bookmarkStart w:id="31" w:name="_Toc39653417"/>
      <w:r>
        <w:rPr>
          <w:rFonts w:hint="eastAsia"/>
          <w:b/>
          <w:sz w:val="24"/>
        </w:rPr>
        <w:t>九、合同争议解决方式</w:t>
      </w:r>
      <w:bookmarkEnd w:id="30"/>
      <w:bookmarkEnd w:id="31"/>
    </w:p>
    <w:p>
      <w:pPr>
        <w:adjustRightInd w:val="0"/>
        <w:snapToGrid w:val="0"/>
        <w:spacing w:line="360" w:lineRule="auto"/>
        <w:ind w:firstLine="450" w:firstLineChars="200"/>
        <w:rPr>
          <w:rFonts w:ascii="宋体" w:hAnsi="宋体"/>
          <w:sz w:val="24"/>
        </w:rPr>
      </w:pPr>
      <w:r>
        <w:rPr>
          <w:rFonts w:hint="eastAsia" w:ascii="宋体" w:hAnsi="宋体"/>
          <w:sz w:val="24"/>
        </w:rPr>
        <w:t>在合同履行期间，如发生争议，双方协商解决，协商不成的，可向甲方项目所在地人民法院提起诉讼。</w:t>
      </w:r>
    </w:p>
    <w:p>
      <w:pPr>
        <w:pStyle w:val="16"/>
        <w:tabs>
          <w:tab w:val="clear" w:pos="916"/>
        </w:tabs>
        <w:adjustRightInd w:val="0"/>
        <w:snapToGrid w:val="0"/>
        <w:spacing w:line="360" w:lineRule="auto"/>
        <w:ind w:firstLine="570"/>
        <w:rPr>
          <w:rFonts w:ascii="宋体" w:hAnsi="宋体" w:eastAsia="宋体"/>
          <w:color w:val="000000"/>
          <w:sz w:val="24"/>
          <w:szCs w:val="24"/>
        </w:rPr>
      </w:pPr>
    </w:p>
    <w:p>
      <w:pPr>
        <w:spacing w:line="440" w:lineRule="exact"/>
        <w:rPr>
          <w:b/>
          <w:sz w:val="24"/>
        </w:rPr>
      </w:pPr>
      <w:bookmarkStart w:id="32" w:name="_Toc39653418"/>
      <w:bookmarkStart w:id="33" w:name="_Toc39653194"/>
      <w:r>
        <w:rPr>
          <w:rFonts w:hint="eastAsia"/>
          <w:b/>
          <w:sz w:val="24"/>
        </w:rPr>
        <w:t>十、合同组成与生效</w:t>
      </w:r>
      <w:bookmarkEnd w:id="32"/>
      <w:bookmarkEnd w:id="33"/>
    </w:p>
    <w:p>
      <w:pPr>
        <w:adjustRightInd w:val="0"/>
        <w:snapToGrid w:val="0"/>
        <w:spacing w:line="360" w:lineRule="auto"/>
        <w:ind w:firstLine="450" w:firstLineChars="200"/>
        <w:rPr>
          <w:rFonts w:ascii="宋体" w:hAnsi="宋体"/>
          <w:sz w:val="24"/>
        </w:rPr>
      </w:pPr>
      <w:r>
        <w:rPr>
          <w:rFonts w:hint="eastAsia" w:ascii="宋体" w:hAnsi="宋体"/>
          <w:sz w:val="24"/>
        </w:rPr>
        <w:t>从合同生效日开始起算，本合同壹式肆份，甲方执叁份，乙方执壹份，签字并加盖公章后生效，希共同遵照执行。谈判、报价文件及其补遗文件和承诺是本合同不可分割的部分，具有同等法律效力。</w:t>
      </w: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tbl>
      <w:tblPr>
        <w:tblStyle w:val="18"/>
        <w:tblW w:w="8460" w:type="dxa"/>
        <w:tblInd w:w="710" w:type="dxa"/>
        <w:tblLayout w:type="fixed"/>
        <w:tblCellMar>
          <w:top w:w="0" w:type="dxa"/>
          <w:left w:w="108" w:type="dxa"/>
          <w:bottom w:w="0" w:type="dxa"/>
          <w:right w:w="108" w:type="dxa"/>
        </w:tblCellMar>
      </w:tblPr>
      <w:tblGrid>
        <w:gridCol w:w="4256"/>
        <w:gridCol w:w="4204"/>
      </w:tblGrid>
      <w:tr>
        <w:tblPrEx>
          <w:tblCellMar>
            <w:top w:w="0" w:type="dxa"/>
            <w:left w:w="108" w:type="dxa"/>
            <w:bottom w:w="0" w:type="dxa"/>
            <w:right w:w="108" w:type="dxa"/>
          </w:tblCellMar>
        </w:tblPrEx>
        <w:trPr>
          <w:trHeight w:val="677" w:hRule="atLeast"/>
        </w:trPr>
        <w:tc>
          <w:tcPr>
            <w:tcW w:w="4256" w:type="dxa"/>
          </w:tcPr>
          <w:p>
            <w:pPr>
              <w:spacing w:line="360" w:lineRule="auto"/>
              <w:rPr>
                <w:rFonts w:ascii="黑体" w:hAnsi="宋体" w:eastAsia="黑体"/>
                <w:b/>
                <w:szCs w:val="21"/>
              </w:rPr>
            </w:pPr>
            <w:r>
              <w:rPr>
                <w:rFonts w:hint="eastAsia" w:ascii="黑体" w:hAnsi="宋体" w:eastAsia="黑体"/>
                <w:b/>
                <w:szCs w:val="21"/>
              </w:rPr>
              <w:t>甲方：陆军军医大学第一附属医院</w:t>
            </w:r>
          </w:p>
          <w:p>
            <w:pPr>
              <w:spacing w:line="360" w:lineRule="auto"/>
              <w:ind w:firstLine="390" w:firstLineChars="200"/>
              <w:rPr>
                <w:rFonts w:ascii="黑体" w:hAnsi="宋体" w:eastAsia="黑体"/>
                <w:b/>
                <w:szCs w:val="21"/>
              </w:rPr>
            </w:pPr>
            <w:r>
              <w:rPr>
                <w:rFonts w:hint="eastAsia" w:ascii="黑体" w:hAnsi="宋体" w:eastAsia="黑体"/>
                <w:b/>
                <w:szCs w:val="21"/>
              </w:rPr>
              <w:t>（盖章）</w:t>
            </w:r>
          </w:p>
        </w:tc>
        <w:tc>
          <w:tcPr>
            <w:tcW w:w="4204" w:type="dxa"/>
          </w:tcPr>
          <w:p>
            <w:pPr>
              <w:spacing w:line="360" w:lineRule="atLeast"/>
              <w:rPr>
                <w:rFonts w:ascii="黑体" w:hAnsi="宋体" w:eastAsia="黑体"/>
                <w:b/>
                <w:szCs w:val="21"/>
              </w:rPr>
            </w:pPr>
            <w:r>
              <w:rPr>
                <w:rFonts w:hint="eastAsia" w:ascii="黑体" w:hAnsi="宋体" w:eastAsia="黑体"/>
                <w:b/>
                <w:szCs w:val="21"/>
              </w:rPr>
              <w:t>乙方：</w:t>
            </w:r>
            <w:r>
              <w:rPr>
                <w:rFonts w:ascii="黑体" w:hAnsi="宋体" w:eastAsia="黑体"/>
                <w:b/>
                <w:szCs w:val="21"/>
              </w:rPr>
              <w:t xml:space="preserve"> </w:t>
            </w:r>
          </w:p>
          <w:p>
            <w:pPr>
              <w:spacing w:line="360" w:lineRule="auto"/>
              <w:ind w:firstLine="390" w:firstLineChars="200"/>
              <w:rPr>
                <w:rFonts w:ascii="黑体" w:hAnsi="宋体" w:eastAsia="黑体"/>
                <w:b/>
                <w:szCs w:val="21"/>
              </w:rPr>
            </w:pPr>
            <w:r>
              <w:rPr>
                <w:rFonts w:hint="eastAsia" w:ascii="黑体" w:hAnsi="宋体" w:eastAsia="黑体"/>
                <w:b/>
                <w:szCs w:val="21"/>
              </w:rPr>
              <w:t>（盖章）</w:t>
            </w:r>
          </w:p>
        </w:tc>
      </w:tr>
      <w:tr>
        <w:tblPrEx>
          <w:tblCellMar>
            <w:top w:w="0" w:type="dxa"/>
            <w:left w:w="108" w:type="dxa"/>
            <w:bottom w:w="0" w:type="dxa"/>
            <w:right w:w="108" w:type="dxa"/>
          </w:tblCellMar>
        </w:tblPrEx>
        <w:trPr>
          <w:trHeight w:val="1354" w:hRule="atLeast"/>
        </w:trPr>
        <w:tc>
          <w:tcPr>
            <w:tcW w:w="4256" w:type="dxa"/>
          </w:tcPr>
          <w:p>
            <w:pPr>
              <w:spacing w:line="360" w:lineRule="auto"/>
              <w:rPr>
                <w:rFonts w:ascii="黑体" w:hAnsi="宋体" w:eastAsia="黑体"/>
                <w:b/>
                <w:szCs w:val="21"/>
              </w:rPr>
            </w:pPr>
            <w:r>
              <w:rPr>
                <w:rFonts w:hint="eastAsia" w:ascii="黑体" w:hAnsi="宋体" w:eastAsia="黑体"/>
                <w:b/>
                <w:szCs w:val="21"/>
              </w:rPr>
              <w:t>地址:重庆市沙坪坝区高滩岩正街30号</w:t>
            </w:r>
          </w:p>
          <w:p>
            <w:pPr>
              <w:spacing w:line="360" w:lineRule="auto"/>
              <w:rPr>
                <w:rFonts w:ascii="黑体" w:hAnsi="宋体" w:eastAsia="黑体"/>
                <w:b/>
                <w:szCs w:val="21"/>
              </w:rPr>
            </w:pPr>
            <w:r>
              <w:rPr>
                <w:rFonts w:hint="eastAsia" w:ascii="黑体" w:hAnsi="宋体" w:eastAsia="黑体"/>
                <w:b/>
                <w:szCs w:val="21"/>
              </w:rPr>
              <w:t>开户银行：中国银行长江路支行</w:t>
            </w:r>
          </w:p>
          <w:p>
            <w:pPr>
              <w:spacing w:line="360" w:lineRule="auto"/>
              <w:rPr>
                <w:rFonts w:ascii="黑体" w:hAnsi="宋体" w:eastAsia="黑体"/>
                <w:b/>
                <w:szCs w:val="21"/>
              </w:rPr>
            </w:pPr>
            <w:r>
              <w:rPr>
                <w:rFonts w:hint="eastAsia" w:ascii="黑体" w:hAnsi="宋体" w:eastAsia="黑体"/>
                <w:b/>
                <w:szCs w:val="21"/>
              </w:rPr>
              <w:t>账号：113007546980</w:t>
            </w:r>
          </w:p>
          <w:p>
            <w:pPr>
              <w:spacing w:line="360" w:lineRule="auto"/>
              <w:rPr>
                <w:rFonts w:ascii="黑体" w:hAnsi="宋体" w:eastAsia="黑体"/>
                <w:b/>
                <w:szCs w:val="21"/>
              </w:rPr>
            </w:pPr>
            <w:r>
              <w:rPr>
                <w:rFonts w:hint="eastAsia" w:ascii="黑体" w:hAnsi="宋体" w:eastAsia="黑体"/>
                <w:b/>
                <w:szCs w:val="21"/>
              </w:rPr>
              <w:t>法定代表人：</w:t>
            </w:r>
          </w:p>
          <w:p>
            <w:pPr>
              <w:spacing w:line="360" w:lineRule="auto"/>
              <w:rPr>
                <w:rFonts w:ascii="黑体" w:hAnsi="宋体" w:eastAsia="黑体"/>
                <w:b/>
                <w:szCs w:val="21"/>
              </w:rPr>
            </w:pPr>
            <w:r>
              <w:rPr>
                <w:rFonts w:hint="eastAsia" w:ascii="黑体" w:hAnsi="宋体" w:eastAsia="黑体"/>
                <w:b/>
                <w:szCs w:val="21"/>
              </w:rPr>
              <w:t xml:space="preserve">法人委托代理人：  </w:t>
            </w:r>
          </w:p>
        </w:tc>
        <w:tc>
          <w:tcPr>
            <w:tcW w:w="4204" w:type="dxa"/>
          </w:tcPr>
          <w:p>
            <w:pPr>
              <w:spacing w:line="360" w:lineRule="auto"/>
              <w:rPr>
                <w:rFonts w:ascii="黑体" w:hAnsi="宋体" w:eastAsia="黑体"/>
                <w:b/>
                <w:szCs w:val="21"/>
              </w:rPr>
            </w:pPr>
            <w:r>
              <w:rPr>
                <w:rFonts w:hint="eastAsia" w:ascii="黑体" w:hAnsi="宋体" w:eastAsia="黑体"/>
                <w:b/>
                <w:szCs w:val="21"/>
              </w:rPr>
              <w:t>地址：</w:t>
            </w:r>
          </w:p>
          <w:p>
            <w:pPr>
              <w:spacing w:line="360" w:lineRule="auto"/>
              <w:rPr>
                <w:rFonts w:ascii="黑体" w:hAnsi="宋体" w:eastAsia="黑体"/>
                <w:b/>
                <w:szCs w:val="21"/>
              </w:rPr>
            </w:pPr>
            <w:r>
              <w:rPr>
                <w:rFonts w:hint="eastAsia" w:ascii="黑体" w:hAnsi="宋体" w:eastAsia="黑体"/>
                <w:b/>
                <w:szCs w:val="21"/>
              </w:rPr>
              <w:t>开户银行：</w:t>
            </w:r>
            <w:r>
              <w:rPr>
                <w:rFonts w:ascii="黑体" w:hAnsi="宋体" w:eastAsia="黑体"/>
                <w:b/>
                <w:szCs w:val="21"/>
              </w:rPr>
              <w:t xml:space="preserve"> </w:t>
            </w:r>
          </w:p>
          <w:p>
            <w:pPr>
              <w:spacing w:line="360" w:lineRule="auto"/>
              <w:rPr>
                <w:rFonts w:ascii="黑体" w:hAnsi="宋体" w:eastAsia="黑体"/>
                <w:b/>
                <w:szCs w:val="21"/>
              </w:rPr>
            </w:pPr>
            <w:r>
              <w:rPr>
                <w:rFonts w:hint="eastAsia" w:ascii="黑体" w:hAnsi="宋体" w:eastAsia="黑体"/>
                <w:b/>
                <w:szCs w:val="21"/>
              </w:rPr>
              <w:t>账号：</w:t>
            </w:r>
          </w:p>
          <w:p>
            <w:pPr>
              <w:spacing w:line="360" w:lineRule="auto"/>
              <w:rPr>
                <w:rFonts w:ascii="黑体" w:hAnsi="宋体" w:eastAsia="黑体"/>
                <w:b/>
                <w:szCs w:val="21"/>
              </w:rPr>
            </w:pPr>
            <w:r>
              <w:rPr>
                <w:rFonts w:hint="eastAsia" w:ascii="黑体" w:hAnsi="宋体" w:eastAsia="黑体"/>
                <w:b/>
                <w:szCs w:val="21"/>
              </w:rPr>
              <w:t>法定代表人：</w:t>
            </w:r>
          </w:p>
          <w:p>
            <w:pPr>
              <w:spacing w:line="360" w:lineRule="auto"/>
              <w:rPr>
                <w:rFonts w:ascii="黑体" w:hAnsi="宋体" w:eastAsia="黑体"/>
                <w:b/>
                <w:szCs w:val="21"/>
              </w:rPr>
            </w:pPr>
            <w:r>
              <w:rPr>
                <w:rFonts w:hint="eastAsia" w:ascii="黑体" w:hAnsi="宋体" w:eastAsia="黑体"/>
                <w:b/>
                <w:szCs w:val="21"/>
              </w:rPr>
              <w:t>委托代理人：</w:t>
            </w:r>
          </w:p>
        </w:tc>
      </w:tr>
      <w:tr>
        <w:tblPrEx>
          <w:tblCellMar>
            <w:top w:w="0" w:type="dxa"/>
            <w:left w:w="108" w:type="dxa"/>
            <w:bottom w:w="0" w:type="dxa"/>
            <w:right w:w="108" w:type="dxa"/>
          </w:tblCellMar>
        </w:tblPrEx>
        <w:trPr>
          <w:trHeight w:val="677" w:hRule="atLeast"/>
        </w:trPr>
        <w:tc>
          <w:tcPr>
            <w:tcW w:w="4256" w:type="dxa"/>
          </w:tcPr>
          <w:p>
            <w:pPr>
              <w:spacing w:line="360" w:lineRule="auto"/>
              <w:rPr>
                <w:rFonts w:ascii="黑体" w:hAnsi="宋体" w:eastAsia="黑体"/>
                <w:b/>
                <w:szCs w:val="21"/>
              </w:rPr>
            </w:pPr>
          </w:p>
        </w:tc>
        <w:tc>
          <w:tcPr>
            <w:tcW w:w="4204" w:type="dxa"/>
          </w:tcPr>
          <w:p>
            <w:pPr>
              <w:spacing w:line="360" w:lineRule="auto"/>
              <w:ind w:left="975" w:leftChars="150" w:hanging="683" w:hangingChars="350"/>
              <w:rPr>
                <w:rFonts w:ascii="黑体" w:hAnsi="宋体" w:eastAsia="黑体"/>
                <w:b/>
                <w:szCs w:val="21"/>
              </w:rPr>
            </w:pPr>
          </w:p>
        </w:tc>
      </w:tr>
      <w:tr>
        <w:tblPrEx>
          <w:tblCellMar>
            <w:top w:w="0" w:type="dxa"/>
            <w:left w:w="108" w:type="dxa"/>
            <w:bottom w:w="0" w:type="dxa"/>
            <w:right w:w="108" w:type="dxa"/>
          </w:tblCellMar>
        </w:tblPrEx>
        <w:trPr>
          <w:trHeight w:val="338" w:hRule="atLeast"/>
        </w:trPr>
        <w:tc>
          <w:tcPr>
            <w:tcW w:w="4256" w:type="dxa"/>
          </w:tcPr>
          <w:p>
            <w:pPr>
              <w:spacing w:line="360" w:lineRule="auto"/>
              <w:rPr>
                <w:rFonts w:ascii="黑体" w:hAnsi="宋体" w:eastAsia="黑体"/>
                <w:b/>
                <w:szCs w:val="21"/>
              </w:rPr>
            </w:pPr>
            <w:r>
              <w:rPr>
                <w:rFonts w:hint="eastAsia" w:ascii="黑体" w:hAnsi="宋体" w:eastAsia="黑体"/>
                <w:b/>
                <w:szCs w:val="21"/>
              </w:rPr>
              <w:t>电话：023-68766150</w:t>
            </w:r>
          </w:p>
        </w:tc>
        <w:tc>
          <w:tcPr>
            <w:tcW w:w="4204" w:type="dxa"/>
          </w:tcPr>
          <w:p>
            <w:pPr>
              <w:spacing w:line="360" w:lineRule="auto"/>
              <w:rPr>
                <w:rFonts w:ascii="黑体" w:hAnsi="宋体" w:eastAsia="黑体"/>
                <w:b/>
                <w:szCs w:val="21"/>
              </w:rPr>
            </w:pPr>
            <w:r>
              <w:rPr>
                <w:rFonts w:hint="eastAsia" w:ascii="黑体" w:hAnsi="宋体" w:eastAsia="黑体"/>
                <w:b/>
                <w:szCs w:val="21"/>
              </w:rPr>
              <w:t>电话：</w:t>
            </w:r>
          </w:p>
        </w:tc>
      </w:tr>
    </w:tbl>
    <w:p>
      <w:pPr>
        <w:spacing w:line="360" w:lineRule="exact"/>
        <w:rPr>
          <w:rFonts w:ascii="宋体" w:hAnsi="宋体"/>
          <w:u w:val="single"/>
        </w:rPr>
      </w:pPr>
    </w:p>
    <w:p>
      <w:pPr>
        <w:spacing w:line="360" w:lineRule="exact"/>
        <w:rPr>
          <w:rFonts w:ascii="宋体" w:hAnsi="宋体"/>
          <w:u w:val="single"/>
        </w:rPr>
      </w:pPr>
    </w:p>
    <w:p>
      <w:pPr>
        <w:spacing w:line="360" w:lineRule="exact"/>
        <w:ind w:firstLine="585" w:firstLineChars="300"/>
        <w:rPr>
          <w:rFonts w:ascii="宋体" w:hAnsi="宋体"/>
          <w:b/>
        </w:rPr>
      </w:pP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adjustRightInd w:val="0"/>
        <w:snapToGrid w:val="0"/>
        <w:spacing w:line="440" w:lineRule="exact"/>
        <w:ind w:firstLine="450" w:firstLineChars="200"/>
        <w:rPr>
          <w:rFonts w:cs="Times New Roman" w:asciiTheme="minorEastAsia" w:hAnsiTheme="minorEastAsia"/>
          <w:kern w:val="0"/>
          <w:sz w:val="24"/>
          <w:szCs w:val="24"/>
        </w:rPr>
      </w:pPr>
    </w:p>
    <w:p>
      <w:pPr>
        <w:adjustRightInd w:val="0"/>
        <w:snapToGrid w:val="0"/>
        <w:jc w:val="cente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功能清单</w:t>
      </w:r>
    </w:p>
    <w:p>
      <w:pP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内容自拟，以实际产品功能为主，格式不限</w:t>
      </w:r>
    </w:p>
    <w:p>
      <w:pPr>
        <w:rPr>
          <w:rFonts w:ascii="黑体" w:hAnsi="Times New Roman" w:eastAsia="黑体" w:cs="Times New Roman"/>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1906" w:h="16838"/>
          <w:pgMar w:top="1134" w:right="567" w:bottom="1134" w:left="1021"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34" w:name="_Toc285612604"/>
      <w:bookmarkStart w:id="35" w:name="_Toc37172691"/>
      <w:bookmarkStart w:id="36" w:name="_Toc43485655"/>
      <w:bookmarkStart w:id="37" w:name="_Toc240432233"/>
      <w:bookmarkStart w:id="38" w:name="_Toc390713970"/>
      <w:bookmarkStart w:id="39" w:name="_Toc435540982"/>
      <w:r>
        <w:rPr>
          <w:rFonts w:hint="eastAsia" w:ascii="黑体" w:hAnsi="黑体" w:eastAsia="黑体" w:cs="Times New Roman"/>
          <w:kern w:val="0"/>
          <w:sz w:val="32"/>
          <w:szCs w:val="32"/>
        </w:rPr>
        <w:t>第五部分  附件/报价文件格式</w:t>
      </w:r>
      <w:bookmarkEnd w:id="34"/>
      <w:bookmarkEnd w:id="35"/>
      <w:bookmarkEnd w:id="36"/>
      <w:bookmarkEnd w:id="37"/>
      <w:bookmarkEnd w:id="38"/>
      <w:bookmarkEnd w:id="39"/>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40"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40"/>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8"/>
        <w:tblW w:w="5000" w:type="pct"/>
        <w:jc w:val="center"/>
        <w:tblLayout w:type="autofit"/>
        <w:tblCellMar>
          <w:top w:w="0" w:type="dxa"/>
          <w:left w:w="0" w:type="dxa"/>
          <w:bottom w:w="0" w:type="dxa"/>
          <w:right w:w="0" w:type="dxa"/>
        </w:tblCellMar>
      </w:tblPr>
      <w:tblGrid>
        <w:gridCol w:w="648"/>
        <w:gridCol w:w="2666"/>
        <w:gridCol w:w="677"/>
        <w:gridCol w:w="1007"/>
        <w:gridCol w:w="2563"/>
        <w:gridCol w:w="1324"/>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666"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677"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1007"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256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8"/>
        <w:tblW w:w="5222" w:type="pct"/>
        <w:jc w:val="center"/>
        <w:tblLayout w:type="autofit"/>
        <w:tblCellMar>
          <w:top w:w="0" w:type="dxa"/>
          <w:left w:w="108" w:type="dxa"/>
          <w:bottom w:w="0" w:type="dxa"/>
          <w:right w:w="108" w:type="dxa"/>
        </w:tblCellMar>
      </w:tblPr>
      <w:tblGrid>
        <w:gridCol w:w="813"/>
        <w:gridCol w:w="2939"/>
        <w:gridCol w:w="2470"/>
        <w:gridCol w:w="3242"/>
      </w:tblGrid>
      <w:tr>
        <w:tblPrEx>
          <w:tblCellMar>
            <w:top w:w="0" w:type="dxa"/>
            <w:left w:w="108" w:type="dxa"/>
            <w:bottom w:w="0" w:type="dxa"/>
            <w:right w:w="108" w:type="dxa"/>
          </w:tblCellMar>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324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执行标准（国标/行业标准等）</w:t>
            </w: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8"/>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附件12</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8"/>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软件著作权证书或发明专利</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IS09001质量管理体系认证证书</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IS027001信息安全管理体系认证证书</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高新技术企业证书</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5   </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计算机信息系统集成资质证书</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tcPr>
          <w:p>
            <w:pPr>
              <w:tabs>
                <w:tab w:val="left" w:pos="1608"/>
                <w:tab w:val="left" w:pos="1809"/>
              </w:tabs>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CMMI</w:t>
            </w:r>
            <w:r>
              <w:rPr>
                <w:rFonts w:hint="eastAsia"/>
              </w:rPr>
              <w:t>认证证书</w:t>
            </w:r>
            <w:r>
              <w:tab/>
            </w:r>
            <w:r>
              <w:tab/>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7</w:t>
            </w:r>
          </w:p>
        </w:tc>
        <w:tc>
          <w:tcPr>
            <w:tcW w:w="3648" w:type="dxa"/>
            <w:tcBorders>
              <w:top w:val="single" w:color="auto" w:sz="4" w:space="0"/>
              <w:left w:val="nil"/>
              <w:bottom w:val="single" w:color="auto" w:sz="4" w:space="0"/>
              <w:right w:val="single" w:color="auto" w:sz="4" w:space="0"/>
            </w:tcBorders>
            <w:noWrap/>
          </w:tcPr>
          <w:p>
            <w:pPr>
              <w:tabs>
                <w:tab w:val="left" w:pos="1608"/>
                <w:tab w:val="left" w:pos="1809"/>
              </w:tabs>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业</w:t>
            </w:r>
            <w:r>
              <w:rPr>
                <w:rFonts w:asciiTheme="majorEastAsia" w:hAnsiTheme="majorEastAsia" w:eastAsiaTheme="majorEastAsia"/>
                <w:szCs w:val="21"/>
              </w:rPr>
              <w:t>技术标准、规范、</w:t>
            </w:r>
            <w:r>
              <w:rPr>
                <w:rFonts w:hint="eastAsia" w:asciiTheme="majorEastAsia" w:hAnsiTheme="majorEastAsia" w:eastAsiaTheme="majorEastAsia"/>
                <w:szCs w:val="21"/>
              </w:rPr>
              <w:t>认证</w:t>
            </w:r>
            <w:r>
              <w:rPr>
                <w:rFonts w:asciiTheme="majorEastAsia" w:hAnsiTheme="majorEastAsia" w:eastAsiaTheme="majorEastAsia"/>
                <w:szCs w:val="21"/>
              </w:rPr>
              <w:t>证书</w:t>
            </w:r>
            <w:r>
              <w:rPr>
                <w:rFonts w:hint="eastAsia" w:asciiTheme="majorEastAsia" w:hAnsiTheme="majorEastAsia" w:eastAsiaTheme="majorEastAsia"/>
                <w:szCs w:val="21"/>
              </w:rPr>
              <w:t>、</w:t>
            </w:r>
            <w:r>
              <w:rPr>
                <w:rFonts w:asciiTheme="majorEastAsia" w:hAnsiTheme="majorEastAsia" w:eastAsiaTheme="majorEastAsia"/>
                <w:szCs w:val="21"/>
              </w:rPr>
              <w:t>奖项等品质证明材料</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8</w:t>
            </w:r>
          </w:p>
        </w:tc>
        <w:tc>
          <w:tcPr>
            <w:tcW w:w="3648" w:type="dxa"/>
            <w:tcBorders>
              <w:top w:val="single" w:color="auto" w:sz="4" w:space="0"/>
              <w:left w:val="nil"/>
              <w:bottom w:val="single" w:color="auto" w:sz="4" w:space="0"/>
              <w:right w:val="single" w:color="auto" w:sz="4" w:space="0"/>
            </w:tcBorders>
            <w:noWrap/>
          </w:tcPr>
          <w:p>
            <w:pPr>
              <w:tabs>
                <w:tab w:val="left" w:pos="1608"/>
                <w:tab w:val="left" w:pos="1809"/>
              </w:tabs>
              <w:adjustRightInd w:val="0"/>
              <w:snapToGrid w:val="0"/>
              <w:spacing w:line="440" w:lineRule="exact"/>
              <w:rPr>
                <w:rFonts w:asciiTheme="majorEastAsia" w:hAnsiTheme="majorEastAsia" w:eastAsiaTheme="majorEastAsia"/>
                <w:szCs w:val="21"/>
              </w:rPr>
            </w:pPr>
            <w:r>
              <w:rPr>
                <w:rFonts w:hint="eastAsia" w:ascii="宋体" w:hAnsi="宋体"/>
                <w:szCs w:val="21"/>
              </w:rPr>
              <w:t>系统分析师、系统构架师、软件工程、数据库专业开发人员、程序员以及有经验的项目管理和组织能力项目经理，并提供相应的高级</w:t>
            </w:r>
            <w:r>
              <w:rPr>
                <w:rFonts w:ascii="宋体" w:hAnsi="宋体"/>
                <w:szCs w:val="21"/>
              </w:rPr>
              <w:t>职称</w:t>
            </w:r>
            <w:r>
              <w:rPr>
                <w:rFonts w:hint="eastAsia" w:ascii="宋体" w:hAnsi="宋体"/>
                <w:szCs w:val="21"/>
              </w:rPr>
              <w:t>资质</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实施周期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人员组织保障</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到位维修响应</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企业服务方式、现场支持、服务费用、服务等级等</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软件运营过程中安全服务和后期技术咨询承诺</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附件13</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8"/>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附件14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5</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1、授权书的格式不限，但必须具有授权单位与授权人的公章/签章，授权销售区域，授权期限（起止日期）等主要内容。</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2、进口产品需提供原厂对中国总代的中英文授权，并提供中国总代至各级销售授权书。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p>
    <w:p>
      <w:pPr>
        <w:widowControl/>
        <w:jc w:val="left"/>
      </w:pPr>
      <w:r>
        <w:rPr>
          <w:rFonts w:hint="eastAsia" w:ascii="黑体" w:hAnsi="黑体" w:eastAsia="黑体" w:cs="Times New Roman"/>
          <w:kern w:val="0"/>
          <w:sz w:val="32"/>
          <w:szCs w:val="32"/>
        </w:rPr>
        <w:t xml:space="preserve">附件21    </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技术指标参数要求明细</w:t>
      </w:r>
    </w:p>
    <w:p>
      <w:pPr>
        <w:rPr>
          <w:rFonts w:cs="Times New Roman" w:asciiTheme="minorEastAsia" w:hAnsiTheme="minorEastAsia"/>
          <w:b/>
          <w:szCs w:val="21"/>
        </w:rPr>
      </w:pPr>
      <w:r>
        <w:rPr>
          <w:rFonts w:hint="eastAsia" w:cs="Times New Roman" w:asciiTheme="minorEastAsia" w:hAnsiTheme="minorEastAsia"/>
          <w:b/>
          <w:szCs w:val="21"/>
        </w:rPr>
        <w:t>一、本次招标内容列表</w:t>
      </w:r>
    </w:p>
    <w:tbl>
      <w:tblPr>
        <w:tblStyle w:val="18"/>
        <w:tblpPr w:leftFromText="180" w:rightFromText="180" w:vertAnchor="text" w:horzAnchor="margin" w:tblpY="152"/>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5132"/>
        <w:gridCol w:w="2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72" w:type="dxa"/>
            <w:vAlign w:val="center"/>
          </w:tcPr>
          <w:p>
            <w:pPr>
              <w:jc w:val="center"/>
              <w:rPr>
                <w:rFonts w:cs="Times New Roman" w:asciiTheme="minorEastAsia" w:hAnsiTheme="minorEastAsia"/>
                <w:b/>
                <w:bCs/>
                <w:szCs w:val="21"/>
              </w:rPr>
            </w:pPr>
            <w:r>
              <w:rPr>
                <w:rFonts w:hint="eastAsia" w:cs="Times New Roman" w:asciiTheme="minorEastAsia" w:hAnsiTheme="minorEastAsia"/>
                <w:b/>
                <w:bCs/>
                <w:szCs w:val="21"/>
              </w:rPr>
              <w:t>序号</w:t>
            </w:r>
          </w:p>
        </w:tc>
        <w:tc>
          <w:tcPr>
            <w:tcW w:w="5132" w:type="dxa"/>
            <w:vAlign w:val="center"/>
          </w:tcPr>
          <w:p>
            <w:pPr>
              <w:jc w:val="center"/>
              <w:rPr>
                <w:rFonts w:cs="Times New Roman" w:asciiTheme="minorEastAsia" w:hAnsiTheme="minorEastAsia"/>
                <w:b/>
                <w:bCs/>
                <w:szCs w:val="21"/>
              </w:rPr>
            </w:pPr>
            <w:r>
              <w:rPr>
                <w:rFonts w:hint="eastAsia" w:cs="Times New Roman" w:asciiTheme="minorEastAsia" w:hAnsiTheme="minorEastAsia"/>
                <w:b/>
                <w:bCs/>
                <w:szCs w:val="21"/>
              </w:rPr>
              <w:t>内容</w:t>
            </w:r>
          </w:p>
        </w:tc>
        <w:tc>
          <w:tcPr>
            <w:tcW w:w="2722" w:type="dxa"/>
            <w:vAlign w:val="center"/>
          </w:tcPr>
          <w:p>
            <w:pPr>
              <w:jc w:val="center"/>
              <w:rPr>
                <w:rFonts w:cs="Times New Roman" w:asciiTheme="minorEastAsia" w:hAnsiTheme="minorEastAsia"/>
                <w:b/>
                <w:bCs/>
                <w:szCs w:val="21"/>
              </w:rPr>
            </w:pPr>
            <w:r>
              <w:rPr>
                <w:rFonts w:hint="eastAsia" w:cs="Times New Roman" w:asciiTheme="minorEastAsia" w:hAnsiTheme="minorEastAsia"/>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72" w:type="dxa"/>
            <w:vAlign w:val="center"/>
          </w:tcPr>
          <w:p>
            <w:pPr>
              <w:widowControl/>
              <w:numPr>
                <w:ilvl w:val="0"/>
                <w:numId w:val="2"/>
              </w:numPr>
              <w:topLinePunct/>
              <w:autoSpaceDE w:val="0"/>
              <w:adjustRightInd w:val="0"/>
              <w:spacing w:line="360" w:lineRule="auto"/>
              <w:jc w:val="center"/>
              <w:rPr>
                <w:rFonts w:cs="Times New Roman" w:asciiTheme="minorEastAsia" w:hAnsiTheme="minorEastAsia"/>
                <w:szCs w:val="21"/>
              </w:rPr>
            </w:pPr>
          </w:p>
        </w:tc>
        <w:tc>
          <w:tcPr>
            <w:tcW w:w="5132" w:type="dxa"/>
            <w:vAlign w:val="center"/>
          </w:tcPr>
          <w:p>
            <w:pPr>
              <w:rPr>
                <w:rFonts w:cs="Times New Roman" w:asciiTheme="minorEastAsia" w:hAnsiTheme="minorEastAsia"/>
                <w:szCs w:val="21"/>
              </w:rPr>
            </w:pPr>
            <w:r>
              <w:rPr>
                <w:rFonts w:hint="eastAsia" w:cs="Times New Roman" w:asciiTheme="minorEastAsia" w:hAnsiTheme="minorEastAsia"/>
                <w:szCs w:val="21"/>
              </w:rPr>
              <w:t>院内传染病上报系统</w:t>
            </w:r>
          </w:p>
        </w:tc>
        <w:tc>
          <w:tcPr>
            <w:tcW w:w="2722" w:type="dxa"/>
            <w:vAlign w:val="center"/>
          </w:tcPr>
          <w:p>
            <w:pPr>
              <w:rPr>
                <w:rFonts w:cs="Times New Roman" w:asciiTheme="minorEastAsia" w:hAnsiTheme="minorEastAsia"/>
                <w:szCs w:val="21"/>
              </w:rPr>
            </w:pPr>
            <w:r>
              <w:rPr>
                <w:rFonts w:hint="eastAsia" w:cs="Times New Roman" w:asciiTheme="minorEastAsia" w:hAnsiTheme="minorEastAsia"/>
                <w:szCs w:val="21"/>
              </w:rPr>
              <w:t>1套</w:t>
            </w:r>
          </w:p>
        </w:tc>
      </w:tr>
    </w:tbl>
    <w:p>
      <w:pPr>
        <w:widowControl/>
        <w:topLinePunct/>
        <w:autoSpaceDE w:val="0"/>
        <w:adjustRightInd w:val="0"/>
        <w:spacing w:line="360" w:lineRule="auto"/>
        <w:rPr>
          <w:rFonts w:cs="宋体" w:asciiTheme="minorEastAsia" w:hAnsiTheme="minorEastAsia"/>
          <w:szCs w:val="21"/>
        </w:rPr>
      </w:pPr>
      <w:r>
        <w:rPr>
          <w:rFonts w:hint="eastAsia" w:cs="宋体" w:asciiTheme="minorEastAsia" w:hAnsiTheme="minorEastAsia"/>
          <w:szCs w:val="21"/>
        </w:rPr>
        <w:t>二、项目总体要求</w:t>
      </w:r>
    </w:p>
    <w:tbl>
      <w:tblPr>
        <w:tblStyle w:val="52"/>
        <w:tblW w:w="889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1843"/>
        <w:gridCol w:w="623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Borders>
              <w:right w:val="single" w:color="auto" w:sz="4" w:space="0"/>
            </w:tcBorders>
            <w:vAlign w:val="center"/>
          </w:tcPr>
          <w:p>
            <w:pPr>
              <w:widowControl/>
              <w:topLinePunct/>
              <w:autoSpaceDE w:val="0"/>
              <w:adjustRightInd w:val="0"/>
              <w:spacing w:line="360" w:lineRule="auto"/>
              <w:jc w:val="center"/>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序号</w:t>
            </w:r>
          </w:p>
        </w:tc>
        <w:tc>
          <w:tcPr>
            <w:tcW w:w="1843" w:type="dxa"/>
            <w:tcBorders>
              <w:left w:val="single" w:color="auto" w:sz="4" w:space="0"/>
            </w:tcBorders>
            <w:vAlign w:val="center"/>
          </w:tcPr>
          <w:p>
            <w:pPr>
              <w:widowControl/>
              <w:topLinePunct/>
              <w:autoSpaceDE w:val="0"/>
              <w:adjustRightInd w:val="0"/>
              <w:spacing w:line="360" w:lineRule="auto"/>
              <w:jc w:val="center"/>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要求</w:t>
            </w:r>
          </w:p>
        </w:tc>
        <w:tc>
          <w:tcPr>
            <w:tcW w:w="6237" w:type="dxa"/>
            <w:vAlign w:val="bottom"/>
          </w:tcPr>
          <w:p>
            <w:pPr>
              <w:widowControl/>
              <w:topLinePunct/>
              <w:autoSpaceDE w:val="0"/>
              <w:adjustRightInd w:val="0"/>
              <w:spacing w:line="360" w:lineRule="auto"/>
              <w:jc w:val="left"/>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具体内容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Borders>
              <w:right w:val="single" w:color="auto" w:sz="4" w:space="0"/>
            </w:tcBorders>
            <w:vAlign w:val="center"/>
          </w:tcPr>
          <w:p>
            <w:pPr>
              <w:widowControl/>
              <w:topLinePunct/>
              <w:autoSpaceDE w:val="0"/>
              <w:adjustRightInd w:val="0"/>
              <w:spacing w:line="360" w:lineRule="auto"/>
              <w:jc w:val="center"/>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1</w:t>
            </w:r>
          </w:p>
        </w:tc>
        <w:tc>
          <w:tcPr>
            <w:tcW w:w="1843" w:type="dxa"/>
            <w:tcBorders>
              <w:left w:val="single" w:color="auto" w:sz="4" w:space="0"/>
            </w:tcBorders>
            <w:vAlign w:val="center"/>
          </w:tcPr>
          <w:p>
            <w:pPr>
              <w:widowControl/>
              <w:topLinePunct/>
              <w:autoSpaceDE w:val="0"/>
              <w:adjustRightInd w:val="0"/>
              <w:spacing w:line="360" w:lineRule="auto"/>
              <w:jc w:val="center"/>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工期</w:t>
            </w:r>
          </w:p>
        </w:tc>
        <w:tc>
          <w:tcPr>
            <w:tcW w:w="6237" w:type="dxa"/>
            <w:vAlign w:val="bottom"/>
          </w:tcPr>
          <w:p>
            <w:pPr>
              <w:widowControl/>
              <w:topLinePunct/>
              <w:autoSpaceDE w:val="0"/>
              <w:adjustRightInd w:val="0"/>
              <w:spacing w:line="360" w:lineRule="auto"/>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签订合同后</w:t>
            </w:r>
            <w:r>
              <w:rPr>
                <w:rFonts w:hint="eastAsia" w:cs="宋体" w:asciiTheme="minorEastAsia" w:hAnsiTheme="minorEastAsia" w:eastAsiaTheme="minorEastAsia"/>
                <w:kern w:val="0"/>
                <w:sz w:val="21"/>
                <w:szCs w:val="21"/>
                <w:u w:val="single"/>
              </w:rPr>
              <w:t>30</w:t>
            </w:r>
            <w:r>
              <w:rPr>
                <w:rFonts w:hint="eastAsia" w:cs="宋体" w:asciiTheme="minorEastAsia" w:hAnsiTheme="minorEastAsia" w:eastAsiaTheme="minorEastAsia"/>
                <w:kern w:val="0"/>
                <w:sz w:val="21"/>
                <w:szCs w:val="21"/>
              </w:rPr>
              <w:t>日内完成。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Borders>
              <w:right w:val="single" w:color="auto" w:sz="4" w:space="0"/>
            </w:tcBorders>
            <w:vAlign w:val="center"/>
          </w:tcPr>
          <w:p>
            <w:pPr>
              <w:widowControl/>
              <w:topLinePunct/>
              <w:autoSpaceDE w:val="0"/>
              <w:adjustRightInd w:val="0"/>
              <w:spacing w:line="360" w:lineRule="auto"/>
              <w:jc w:val="center"/>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2</w:t>
            </w:r>
          </w:p>
        </w:tc>
        <w:tc>
          <w:tcPr>
            <w:tcW w:w="1843" w:type="dxa"/>
            <w:tcBorders>
              <w:left w:val="single" w:color="auto" w:sz="4" w:space="0"/>
            </w:tcBorders>
            <w:vAlign w:val="center"/>
          </w:tcPr>
          <w:p>
            <w:pPr>
              <w:widowControl/>
              <w:topLinePunct/>
              <w:autoSpaceDE w:val="0"/>
              <w:adjustRightInd w:val="0"/>
              <w:spacing w:line="360" w:lineRule="auto"/>
              <w:jc w:val="center"/>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培训</w:t>
            </w:r>
          </w:p>
        </w:tc>
        <w:tc>
          <w:tcPr>
            <w:tcW w:w="6237" w:type="dxa"/>
            <w:vAlign w:val="bottom"/>
          </w:tcPr>
          <w:p>
            <w:pPr>
              <w:widowControl/>
              <w:topLinePunct/>
              <w:autoSpaceDE w:val="0"/>
              <w:adjustRightInd w:val="0"/>
              <w:spacing w:line="400" w:lineRule="exact"/>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培训支持服务（免费）</w:t>
            </w:r>
          </w:p>
          <w:p>
            <w:pPr>
              <w:widowControl/>
              <w:topLinePunct/>
              <w:autoSpaceDE w:val="0"/>
              <w:adjustRightInd w:val="0"/>
              <w:spacing w:line="400" w:lineRule="exact"/>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ab/>
            </w:r>
            <w:r>
              <w:rPr>
                <w:rFonts w:hint="eastAsia" w:cs="宋体" w:asciiTheme="minorEastAsia" w:hAnsiTheme="minorEastAsia" w:eastAsiaTheme="minorEastAsia"/>
                <w:kern w:val="0"/>
                <w:sz w:val="21"/>
                <w:szCs w:val="21"/>
              </w:rPr>
              <w:t>要求提供用户培训服务，包括产品安装、配置、操作使用及应用案例演示。要求所有培训课程均由具有良好理论素养，又具备丰富实际经验的技术人员教授。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Borders>
              <w:right w:val="single" w:color="auto" w:sz="4" w:space="0"/>
            </w:tcBorders>
            <w:vAlign w:val="center"/>
          </w:tcPr>
          <w:p>
            <w:pPr>
              <w:widowControl/>
              <w:topLinePunct/>
              <w:autoSpaceDE w:val="0"/>
              <w:adjustRightInd w:val="0"/>
              <w:spacing w:line="360" w:lineRule="auto"/>
              <w:jc w:val="center"/>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3</w:t>
            </w:r>
          </w:p>
        </w:tc>
        <w:tc>
          <w:tcPr>
            <w:tcW w:w="1843" w:type="dxa"/>
            <w:tcBorders>
              <w:left w:val="single" w:color="auto" w:sz="4" w:space="0"/>
            </w:tcBorders>
            <w:vAlign w:val="center"/>
          </w:tcPr>
          <w:p>
            <w:pPr>
              <w:widowControl/>
              <w:topLinePunct/>
              <w:autoSpaceDE w:val="0"/>
              <w:adjustRightInd w:val="0"/>
              <w:spacing w:line="360" w:lineRule="auto"/>
              <w:jc w:val="center"/>
              <w:rPr>
                <w:rFonts w:cs="宋体" w:asciiTheme="minorEastAsia" w:hAnsiTheme="minorEastAsia" w:eastAsiaTheme="minorEastAsia"/>
                <w:kern w:val="0"/>
                <w:sz w:val="21"/>
                <w:szCs w:val="21"/>
                <w:lang w:val="es-AR" w:bidi="ne-NP"/>
              </w:rPr>
            </w:pPr>
            <w:r>
              <w:rPr>
                <w:rFonts w:hint="eastAsia" w:cs="宋体" w:asciiTheme="minorEastAsia" w:hAnsiTheme="minorEastAsia" w:eastAsiaTheme="minorEastAsia"/>
                <w:kern w:val="0"/>
                <w:sz w:val="21"/>
                <w:szCs w:val="21"/>
                <w:lang w:val="es-AR" w:bidi="ne-NP"/>
              </w:rPr>
              <w:t>售后服务</w:t>
            </w:r>
          </w:p>
        </w:tc>
        <w:tc>
          <w:tcPr>
            <w:tcW w:w="6237" w:type="dxa"/>
            <w:vAlign w:val="bottom"/>
          </w:tcPr>
          <w:p>
            <w:pPr>
              <w:widowControl/>
              <w:topLinePunct/>
              <w:autoSpaceDE w:val="0"/>
              <w:adjustRightInd w:val="0"/>
              <w:spacing w:line="400" w:lineRule="exact"/>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要求自验收合格日起提供为期3年的原厂免费售后升级</w:t>
            </w:r>
            <w:r>
              <w:rPr>
                <w:rFonts w:cs="宋体" w:asciiTheme="minorEastAsia" w:hAnsiTheme="minorEastAsia" w:eastAsiaTheme="minorEastAsia"/>
                <w:kern w:val="0"/>
                <w:sz w:val="21"/>
                <w:szCs w:val="21"/>
              </w:rPr>
              <w:t>服务</w:t>
            </w:r>
            <w:r>
              <w:rPr>
                <w:rFonts w:hint="eastAsia" w:cs="宋体" w:asciiTheme="minorEastAsia" w:hAnsiTheme="minorEastAsia" w:eastAsiaTheme="minorEastAsia"/>
                <w:kern w:val="0"/>
                <w:sz w:val="21"/>
                <w:szCs w:val="21"/>
              </w:rPr>
              <w:t>；故障响应：7*24小时，出现故障后到达现场时间≦2小时（本地），到达现场时间≦6小时（外地）；</w:t>
            </w:r>
          </w:p>
        </w:tc>
      </w:tr>
    </w:tbl>
    <w:p>
      <w:pPr>
        <w:widowControl/>
        <w:topLinePunct/>
        <w:autoSpaceDE w:val="0"/>
        <w:adjustRightInd w:val="0"/>
        <w:spacing w:line="360" w:lineRule="auto"/>
        <w:jc w:val="left"/>
        <w:rPr>
          <w:rFonts w:cs="宋体" w:asciiTheme="minorEastAsia" w:hAnsiTheme="minorEastAsia"/>
          <w:szCs w:val="21"/>
        </w:rPr>
      </w:pPr>
      <w:r>
        <w:rPr>
          <w:rFonts w:hint="eastAsia" w:cs="Times New Roman" w:asciiTheme="minorEastAsia" w:hAnsiTheme="minorEastAsia"/>
          <w:b/>
          <w:szCs w:val="21"/>
        </w:rPr>
        <w:t>三、</w:t>
      </w:r>
      <w:r>
        <w:rPr>
          <w:rFonts w:hint="eastAsia" w:cs="宋体" w:asciiTheme="minorEastAsia" w:hAnsiTheme="minorEastAsia"/>
          <w:szCs w:val="21"/>
        </w:rPr>
        <w:t>软件功能及性能</w:t>
      </w:r>
    </w:p>
    <w:tbl>
      <w:tblPr>
        <w:tblStyle w:val="52"/>
        <w:tblW w:w="946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60"/>
        <w:gridCol w:w="1167"/>
        <w:gridCol w:w="733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960" w:type="dxa"/>
            <w:noWrap/>
          </w:tcPr>
          <w:p>
            <w:pPr>
              <w:widowControl/>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序号</w:t>
            </w:r>
          </w:p>
        </w:tc>
        <w:tc>
          <w:tcPr>
            <w:tcW w:w="1167" w:type="dxa"/>
            <w:noWrap/>
          </w:tcPr>
          <w:p>
            <w:pPr>
              <w:widowControl/>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功能</w:t>
            </w:r>
          </w:p>
        </w:tc>
        <w:tc>
          <w:tcPr>
            <w:tcW w:w="7337" w:type="dxa"/>
            <w:noWrap/>
          </w:tcPr>
          <w:p>
            <w:pPr>
              <w:widowControl/>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具体要求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8" w:hRule="atLeast"/>
        </w:trPr>
        <w:tc>
          <w:tcPr>
            <w:tcW w:w="960" w:type="dxa"/>
            <w:noWrap/>
          </w:tcPr>
          <w:p>
            <w:pPr>
              <w:widowControl/>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w:t>
            </w:r>
          </w:p>
        </w:tc>
        <w:tc>
          <w:tcPr>
            <w:tcW w:w="1167" w:type="dxa"/>
            <w:noWrap/>
          </w:tcPr>
          <w:p>
            <w:pPr>
              <w:widowControl/>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首页</w:t>
            </w:r>
          </w:p>
        </w:tc>
        <w:tc>
          <w:tcPr>
            <w:tcW w:w="7337" w:type="dxa"/>
          </w:tcPr>
          <w:p>
            <w:pPr>
              <w:widowControl/>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1.1待办事项</w:t>
            </w:r>
          </w:p>
          <w:p>
            <w:pPr>
              <w:widowControl/>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当天待办事项一目了然。</w:t>
            </w:r>
          </w:p>
          <w:p>
            <w:pPr>
              <w:widowControl/>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★支持图形化的展示预警、上报卡和PDCA待办事项。</w:t>
            </w:r>
            <w:r>
              <w:rPr>
                <w:rFonts w:hint="eastAsia" w:cs="宋体" w:asciiTheme="minorEastAsia" w:hAnsiTheme="minorEastAsia" w:eastAsiaTheme="minorEastAsia"/>
                <w:kern w:val="0"/>
                <w:sz w:val="21"/>
                <w:szCs w:val="21"/>
              </w:rPr>
              <w:br w:type="textWrapping"/>
            </w:r>
            <w:r>
              <w:rPr>
                <w:rFonts w:hint="eastAsia" w:cs="宋体" w:asciiTheme="minorEastAsia" w:hAnsiTheme="minorEastAsia" w:eastAsiaTheme="minorEastAsia"/>
                <w:kern w:val="0"/>
                <w:sz w:val="21"/>
                <w:szCs w:val="21"/>
              </w:rPr>
              <w:t>预警，包括传染病预警、慢病预警、其他公卫预警等的待办统计。</w:t>
            </w:r>
            <w:r>
              <w:rPr>
                <w:rFonts w:hint="eastAsia" w:cs="宋体" w:asciiTheme="minorEastAsia" w:hAnsiTheme="minorEastAsia" w:eastAsiaTheme="minorEastAsia"/>
                <w:kern w:val="0"/>
                <w:sz w:val="21"/>
                <w:szCs w:val="21"/>
              </w:rPr>
              <w:br w:type="textWrapping"/>
            </w:r>
            <w:r>
              <w:rPr>
                <w:rFonts w:hint="eastAsia" w:cs="宋体" w:asciiTheme="minorEastAsia" w:hAnsiTheme="minorEastAsia" w:eastAsiaTheme="minorEastAsia"/>
                <w:kern w:val="0"/>
                <w:sz w:val="21"/>
                <w:szCs w:val="21"/>
              </w:rPr>
              <w:t>上报卡，包括传染病上报卡、慢病上报卡、其他公卫上报卡等的待办统计。</w:t>
            </w:r>
            <w:r>
              <w:rPr>
                <w:rFonts w:hint="eastAsia" w:cs="宋体" w:asciiTheme="minorEastAsia" w:hAnsiTheme="minorEastAsia" w:eastAsiaTheme="minorEastAsia"/>
                <w:kern w:val="0"/>
                <w:sz w:val="21"/>
                <w:szCs w:val="21"/>
              </w:rPr>
              <w:br w:type="textWrapping"/>
            </w:r>
            <w:r>
              <w:rPr>
                <w:rFonts w:hint="eastAsia" w:cs="宋体" w:asciiTheme="minorEastAsia" w:hAnsiTheme="minorEastAsia" w:eastAsiaTheme="minorEastAsia"/>
                <w:kern w:val="0"/>
                <w:sz w:val="21"/>
                <w:szCs w:val="21"/>
              </w:rPr>
              <w:t>PDCA，包括通知和干预的待办统计。</w:t>
            </w:r>
            <w:r>
              <w:rPr>
                <w:rFonts w:hint="eastAsia" w:cs="宋体" w:asciiTheme="minorEastAsia" w:hAnsiTheme="minorEastAsia" w:eastAsiaTheme="minorEastAsia"/>
                <w:kern w:val="0"/>
                <w:sz w:val="21"/>
                <w:szCs w:val="21"/>
              </w:rPr>
              <w:br w:type="textWrapping"/>
            </w:r>
            <w:r>
              <w:rPr>
                <w:rFonts w:hint="eastAsia" w:cs="宋体" w:asciiTheme="minorEastAsia" w:hAnsiTheme="minorEastAsia" w:eastAsiaTheme="minorEastAsia"/>
                <w:kern w:val="0"/>
                <w:sz w:val="21"/>
                <w:szCs w:val="21"/>
              </w:rPr>
              <w:t>1.2常用监测</w:t>
            </w:r>
          </w:p>
          <w:p>
            <w:pPr>
              <w:widowControl/>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★支持图形化的展示近期传染病上报例数、传染病发病趋势。</w:t>
            </w:r>
            <w:r>
              <w:rPr>
                <w:rFonts w:hint="eastAsia" w:cs="宋体" w:asciiTheme="minorEastAsia" w:hAnsiTheme="minorEastAsia" w:eastAsiaTheme="minorEastAsia"/>
                <w:kern w:val="0"/>
                <w:sz w:val="21"/>
                <w:szCs w:val="21"/>
              </w:rPr>
              <w:br w:type="textWrapping"/>
            </w:r>
            <w:r>
              <w:rPr>
                <w:rFonts w:hint="eastAsia" w:cs="宋体" w:asciiTheme="minorEastAsia" w:hAnsiTheme="minorEastAsia" w:eastAsiaTheme="minorEastAsia"/>
                <w:kern w:val="0"/>
                <w:sz w:val="21"/>
                <w:szCs w:val="21"/>
              </w:rPr>
              <w:t>1.3重点关注</w:t>
            </w:r>
            <w:r>
              <w:rPr>
                <w:rFonts w:hint="eastAsia" w:cs="宋体" w:asciiTheme="minorEastAsia" w:hAnsiTheme="minorEastAsia" w:eastAsiaTheme="minorEastAsia"/>
                <w:kern w:val="0"/>
                <w:sz w:val="21"/>
                <w:szCs w:val="21"/>
              </w:rPr>
              <w:br w:type="textWrapping"/>
            </w:r>
            <w:r>
              <w:rPr>
                <w:rFonts w:hint="eastAsia" w:cs="宋体" w:asciiTheme="minorEastAsia" w:hAnsiTheme="minorEastAsia" w:eastAsiaTheme="minorEastAsia"/>
                <w:kern w:val="0"/>
                <w:sz w:val="21"/>
                <w:szCs w:val="21"/>
              </w:rPr>
              <w:t>将重点关注病例添加到关注列表，方便医生查看并跟踪患者的情况。</w:t>
            </w:r>
          </w:p>
          <w:p>
            <w:pPr>
              <w:widowControl/>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w:t>
            </w:r>
            <w:r>
              <w:rPr>
                <w:rFonts w:cs="宋体" w:asciiTheme="minorEastAsia" w:hAnsiTheme="minorEastAsia" w:eastAsiaTheme="minorEastAsia"/>
                <w:kern w:val="0"/>
                <w:sz w:val="21"/>
                <w:szCs w:val="21"/>
              </w:rPr>
              <w:t xml:space="preserve">4 </w:t>
            </w:r>
            <w:r>
              <w:rPr>
                <w:rFonts w:hint="eastAsia" w:cs="宋体" w:asciiTheme="minorEastAsia" w:hAnsiTheme="minorEastAsia" w:eastAsiaTheme="minorEastAsia"/>
                <w:kern w:val="0"/>
                <w:sz w:val="21"/>
                <w:szCs w:val="21"/>
              </w:rPr>
              <w:t>快速报卡</w:t>
            </w:r>
          </w:p>
          <w:p>
            <w:pPr>
              <w:widowControl/>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★支持模糊匹配病人ID</w:t>
            </w:r>
            <w:r>
              <w:rPr>
                <w:rFonts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rPr>
              <w:t>姓名查找病人并上报各种卡片。</w:t>
            </w:r>
          </w:p>
          <w:p>
            <w:pPr>
              <w:widowControl/>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w:t>
            </w:r>
            <w:r>
              <w:rPr>
                <w:rFonts w:cs="宋体" w:asciiTheme="minorEastAsia" w:hAnsiTheme="minorEastAsia" w:eastAsiaTheme="minorEastAsia"/>
                <w:kern w:val="0"/>
                <w:sz w:val="21"/>
                <w:szCs w:val="21"/>
              </w:rPr>
              <w:t xml:space="preserve">5 </w:t>
            </w:r>
            <w:r>
              <w:rPr>
                <w:rFonts w:hint="eastAsia" w:cs="宋体" w:asciiTheme="minorEastAsia" w:hAnsiTheme="minorEastAsia" w:eastAsiaTheme="minorEastAsia"/>
                <w:kern w:val="0"/>
                <w:sz w:val="21"/>
                <w:szCs w:val="21"/>
              </w:rPr>
              <w:t>快速查询病人</w:t>
            </w:r>
          </w:p>
          <w:p>
            <w:pPr>
              <w:widowControl/>
              <w:ind w:firstLine="101" w:firstLineChars="50"/>
              <w:jc w:val="left"/>
              <w:rPr>
                <w:rFonts w:cs="宋体" w:asciiTheme="minorEastAsia" w:hAnsiTheme="minorEastAsia" w:eastAsiaTheme="minorEastAsia"/>
                <w:b/>
                <w:bCs/>
                <w:kern w:val="0"/>
                <w:sz w:val="21"/>
                <w:szCs w:val="21"/>
              </w:rPr>
            </w:pPr>
            <w:r>
              <w:rPr>
                <w:rFonts w:hint="eastAsia" w:cs="宋体" w:asciiTheme="minorEastAsia" w:hAnsiTheme="minorEastAsia" w:eastAsiaTheme="minorEastAsia"/>
                <w:kern w:val="0"/>
                <w:sz w:val="21"/>
                <w:szCs w:val="21"/>
              </w:rPr>
              <w:t>支持模糊/精确两种模式，按病人姓名或者编号，查询符合条件的病人。</w:t>
            </w:r>
          </w:p>
          <w:p>
            <w:pPr>
              <w:widowControl/>
              <w:jc w:val="left"/>
              <w:rPr>
                <w:rFonts w:cs="宋体" w:asciiTheme="minorEastAsia" w:hAnsiTheme="minorEastAsia" w:eastAsiaTheme="minorEastAsia"/>
                <w:b/>
                <w:bCs/>
                <w:color w:val="548DD4" w:themeColor="text2" w:themeTint="99"/>
                <w:kern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98" w:hRule="atLeast"/>
        </w:trPr>
        <w:tc>
          <w:tcPr>
            <w:tcW w:w="960" w:type="dxa"/>
            <w:noWrap/>
          </w:tcPr>
          <w:p>
            <w:pPr>
              <w:widowControl/>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2</w:t>
            </w:r>
          </w:p>
        </w:tc>
        <w:tc>
          <w:tcPr>
            <w:tcW w:w="1167" w:type="dxa"/>
            <w:noWrap/>
          </w:tcPr>
          <w:p>
            <w:pPr>
              <w:widowControl/>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智能预警</w:t>
            </w:r>
          </w:p>
        </w:tc>
        <w:tc>
          <w:tcPr>
            <w:tcW w:w="7337" w:type="dxa"/>
          </w:tcPr>
          <w:p>
            <w:pPr>
              <w:widowControl/>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w:t>
            </w:r>
            <w:r>
              <w:rPr>
                <w:rFonts w:cs="宋体" w:asciiTheme="minorEastAsia" w:hAnsiTheme="minorEastAsia" w:eastAsiaTheme="minorEastAsia"/>
                <w:color w:val="000000"/>
                <w:kern w:val="0"/>
                <w:sz w:val="21"/>
                <w:szCs w:val="21"/>
              </w:rPr>
              <w:t>2</w:t>
            </w:r>
            <w:r>
              <w:rPr>
                <w:rFonts w:hint="eastAsia" w:cs="宋体" w:asciiTheme="minorEastAsia" w:hAnsiTheme="minorEastAsia" w:eastAsiaTheme="minorEastAsia"/>
                <w:color w:val="000000"/>
                <w:kern w:val="0"/>
                <w:sz w:val="21"/>
                <w:szCs w:val="21"/>
              </w:rPr>
              <w:t>.1支持根据诊断、影像结果、微生物培养和免疫结果等信息对门诊、住院、体检病人传染病病例、慢病和死亡病例进行预警。</w:t>
            </w:r>
          </w:p>
          <w:p>
            <w:pPr>
              <w:widowControl/>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w:t>
            </w:r>
            <w:r>
              <w:rPr>
                <w:rFonts w:cs="宋体" w:asciiTheme="minorEastAsia" w:hAnsiTheme="minorEastAsia" w:eastAsiaTheme="minorEastAsia"/>
                <w:color w:val="000000"/>
                <w:kern w:val="0"/>
                <w:sz w:val="21"/>
                <w:szCs w:val="21"/>
              </w:rPr>
              <w:t>2</w:t>
            </w:r>
            <w:r>
              <w:rPr>
                <w:rFonts w:hint="eastAsia" w:cs="宋体" w:asciiTheme="minorEastAsia" w:hAnsiTheme="minorEastAsia" w:eastAsiaTheme="minorEastAsia"/>
                <w:color w:val="000000"/>
                <w:kern w:val="0"/>
                <w:sz w:val="21"/>
                <w:szCs w:val="21"/>
              </w:rPr>
              <w:t>.2支持自动根据历史报卡情况等信息实现去除重复预警。</w:t>
            </w:r>
          </w:p>
          <w:p>
            <w:pPr>
              <w:widowControl/>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在医生报卡时，支持重复报卡提示，可以根据身份证号、姓名等信息，查找到病人的历史报卡信息，并在报卡前提示医生，避免重复报卡。</w:t>
            </w:r>
          </w:p>
          <w:p>
            <w:pPr>
              <w:widowControl/>
              <w:jc w:val="left"/>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2</w:t>
            </w:r>
            <w:r>
              <w:rPr>
                <w:rFonts w:hint="eastAsia" w:cs="宋体" w:asciiTheme="minorEastAsia" w:hAnsiTheme="minorEastAsia" w:eastAsiaTheme="minorEastAsia"/>
                <w:color w:val="000000"/>
                <w:kern w:val="0"/>
                <w:sz w:val="21"/>
                <w:szCs w:val="21"/>
              </w:rPr>
              <w:t>.3分科室展示预警病例，传染病医生可查看全院科室</w:t>
            </w: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bCs/>
                <w:kern w:val="0"/>
                <w:sz w:val="21"/>
                <w:szCs w:val="21"/>
              </w:rPr>
              <w:t>并且可以查看到每个病人在病房的位置，病人之间相邻与同病房的关系，</w:t>
            </w:r>
            <w:r>
              <w:rPr>
                <w:rFonts w:hint="eastAsia" w:cs="宋体" w:asciiTheme="minorEastAsia" w:hAnsiTheme="minorEastAsia" w:eastAsiaTheme="minorEastAsia"/>
                <w:color w:val="000000"/>
                <w:kern w:val="0"/>
                <w:sz w:val="21"/>
                <w:szCs w:val="21"/>
              </w:rPr>
              <w:t>临床医生只能查看自己所在科室，查看权限可配置。</w:t>
            </w:r>
          </w:p>
          <w:p>
            <w:pPr>
              <w:widowControl/>
              <w:jc w:val="left"/>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2</w:t>
            </w:r>
            <w:r>
              <w:rPr>
                <w:rFonts w:hint="eastAsia" w:cs="宋体" w:asciiTheme="minorEastAsia" w:hAnsiTheme="minorEastAsia" w:eastAsiaTheme="minorEastAsia"/>
                <w:color w:val="000000"/>
                <w:kern w:val="0"/>
                <w:sz w:val="21"/>
                <w:szCs w:val="21"/>
              </w:rPr>
              <w:t>.4对于每一个疑似病例，可快速查看病人基本信息、诊断、影像结果、微生物培养和免疫结果等信息，辅助临床医生快速诊断。并支持查询患者所有的病历病程，支持关键字在病历病程中高亮显示，且关键字可配置病人异常的指标高亮显示，方便医生有重点的查看相关信息。</w:t>
            </w:r>
          </w:p>
          <w:p>
            <w:pPr>
              <w:widowControl/>
              <w:jc w:val="left"/>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2</w:t>
            </w:r>
            <w:r>
              <w:rPr>
                <w:rFonts w:hint="eastAsia" w:cs="宋体" w:asciiTheme="minorEastAsia" w:hAnsiTheme="minorEastAsia" w:eastAsiaTheme="minorEastAsia"/>
                <w:color w:val="000000"/>
                <w:kern w:val="0"/>
                <w:sz w:val="21"/>
                <w:szCs w:val="21"/>
              </w:rPr>
              <w:t>.5支持对预警病例标记漏报和迟报，便于统计漏报率和迟报率。</w:t>
            </w:r>
          </w:p>
          <w:p>
            <w:pPr>
              <w:widowControl/>
              <w:jc w:val="lef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2.6</w:t>
            </w:r>
            <w:r>
              <w:rPr>
                <w:rFonts w:hint="eastAsia" w:cs="宋体" w:asciiTheme="minorEastAsia" w:hAnsiTheme="minorEastAsia" w:eastAsiaTheme="minorEastAsia"/>
                <w:kern w:val="0"/>
                <w:sz w:val="21"/>
                <w:szCs w:val="21"/>
              </w:rPr>
              <w:t>支持诊断、影像结果、</w:t>
            </w:r>
            <w:r>
              <w:rPr>
                <w:rFonts w:hint="eastAsia" w:cs="宋体" w:asciiTheme="minorEastAsia" w:hAnsiTheme="minorEastAsia" w:eastAsiaTheme="minorEastAsia"/>
                <w:bCs/>
                <w:kern w:val="0"/>
                <w:sz w:val="21"/>
                <w:szCs w:val="21"/>
              </w:rPr>
              <w:t>诊疗过程、</w:t>
            </w:r>
            <w:r>
              <w:rPr>
                <w:rFonts w:hint="eastAsia" w:cs="宋体" w:asciiTheme="minorEastAsia" w:hAnsiTheme="minorEastAsia" w:eastAsiaTheme="minorEastAsia"/>
                <w:kern w:val="0"/>
                <w:sz w:val="21"/>
                <w:szCs w:val="21"/>
              </w:rPr>
              <w:t>微生物培养和免疫结果等预警条件的自由配置。</w:t>
            </w:r>
          </w:p>
          <w:p>
            <w:pPr>
              <w:widowControl/>
              <w:jc w:val="left"/>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2.7 支持预警条件以权重法对每个病例进行分析，判断是否为传染病例。</w:t>
            </w:r>
          </w:p>
          <w:p>
            <w:pPr>
              <w:widowControl/>
              <w:jc w:val="left"/>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 xml:space="preserve">2.8 重要的传染病需要提醒医生会诊此病例。 </w:t>
            </w:r>
          </w:p>
          <w:p>
            <w:pPr>
              <w:widowControl/>
              <w:topLinePunct/>
              <w:autoSpaceDE w:val="0"/>
              <w:adjustRightInd w:val="0"/>
              <w:spacing w:line="360" w:lineRule="auto"/>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2.9 报过传染病报卡的病例，提醒相应科室做相应的防护工作。</w:t>
            </w:r>
          </w:p>
          <w:p>
            <w:pPr>
              <w:widowControl/>
              <w:jc w:val="left"/>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2.10提醒医生需要做会诊确认病例。</w:t>
            </w:r>
          </w:p>
          <w:p>
            <w:pPr>
              <w:widowControl/>
              <w:jc w:val="left"/>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2.11 支持预警死亡病例、慢病病例、流感病例等信息</w:t>
            </w:r>
          </w:p>
          <w:p>
            <w:pPr>
              <w:widowControl/>
              <w:jc w:val="left"/>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2.12 隔离病例的显示与监控</w:t>
            </w:r>
          </w:p>
          <w:p>
            <w:pPr>
              <w:widowControl/>
              <w:jc w:val="left"/>
              <w:rPr>
                <w:rFonts w:cs="宋体" w:asciiTheme="minorEastAsia" w:hAnsiTheme="minorEastAsia" w:eastAsiaTheme="minorEastAsia"/>
                <w:b/>
                <w:bCs/>
                <w:color w:val="548DD4" w:themeColor="text2" w:themeTint="99"/>
                <w:kern w:val="0"/>
                <w:sz w:val="21"/>
                <w:szCs w:val="21"/>
              </w:rPr>
            </w:pPr>
            <w:r>
              <w:rPr>
                <w:rFonts w:hint="eastAsia" w:cs="宋体" w:asciiTheme="minorEastAsia" w:hAnsiTheme="minorEastAsia" w:eastAsiaTheme="minorEastAsia"/>
                <w:bCs/>
                <w:kern w:val="0"/>
                <w:sz w:val="21"/>
                <w:szCs w:val="21"/>
              </w:rPr>
              <w:t>2.13传染病预警规则完全遵循《国家传染病诊断标准》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93" w:hRule="atLeast"/>
        </w:trPr>
        <w:tc>
          <w:tcPr>
            <w:tcW w:w="960" w:type="dxa"/>
            <w:noWrap/>
          </w:tcPr>
          <w:p>
            <w:pPr>
              <w:widowControl/>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3</w:t>
            </w:r>
          </w:p>
        </w:tc>
        <w:tc>
          <w:tcPr>
            <w:tcW w:w="1167" w:type="dxa"/>
            <w:noWrap/>
          </w:tcPr>
          <w:p>
            <w:pPr>
              <w:widowControl/>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上报卡</w:t>
            </w:r>
          </w:p>
        </w:tc>
        <w:tc>
          <w:tcPr>
            <w:tcW w:w="7337" w:type="dxa"/>
          </w:tcPr>
          <w:p>
            <w:pPr>
              <w:widowControl/>
              <w:jc w:val="left"/>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3</w:t>
            </w:r>
            <w:r>
              <w:rPr>
                <w:rFonts w:hint="eastAsia" w:cs="宋体" w:asciiTheme="minorEastAsia" w:hAnsiTheme="minorEastAsia" w:eastAsiaTheme="minorEastAsia"/>
                <w:color w:val="000000"/>
                <w:kern w:val="0"/>
                <w:sz w:val="21"/>
                <w:szCs w:val="21"/>
              </w:rPr>
              <w:t>.1传染病报告卡上报</w:t>
            </w:r>
          </w:p>
          <w:p>
            <w:pPr>
              <w:widowControl/>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★上报卡格式和填报规则完全遵循《中华人民共和国传染病报告卡》。</w:t>
            </w:r>
          </w:p>
          <w:p>
            <w:pPr>
              <w:widowControl/>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支持内嵌</w:t>
            </w:r>
            <w:r>
              <w:rPr>
                <w:rFonts w:hint="eastAsia" w:cs="宋体" w:asciiTheme="minorEastAsia" w:hAnsiTheme="minorEastAsia" w:eastAsiaTheme="minorEastAsia"/>
                <w:kern w:val="0"/>
                <w:sz w:val="21"/>
                <w:szCs w:val="21"/>
              </w:rPr>
              <w:t>到医生工作站并进行上报，医生在下诊断时，调用传染病平台程序，判断是否需要报</w:t>
            </w:r>
            <w:r>
              <w:rPr>
                <w:rFonts w:hint="eastAsia" w:cs="宋体" w:asciiTheme="minorEastAsia" w:hAnsiTheme="minorEastAsia" w:eastAsiaTheme="minorEastAsia"/>
                <w:color w:val="000000"/>
                <w:kern w:val="0"/>
                <w:sz w:val="21"/>
                <w:szCs w:val="21"/>
              </w:rPr>
              <w:t>卡，如果需要，则弹出传染病报告卡提示医生报卡。</w:t>
            </w:r>
          </w:p>
          <w:p>
            <w:pPr>
              <w:widowControl/>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★支持临床上报，管理科室审核的流程；上报卡按待审核、已审核和退卡三种状态进行分类展示</w:t>
            </w:r>
          </w:p>
          <w:p>
            <w:pPr>
              <w:widowControl/>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支持实时提示相关人员待处理的上报卡，点击提示信息可以直接跳转到待处理的上报卡。</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支持按日期、科室和传染病诊断搜索上报卡。</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★支持上报卡打印，格式和《中华人民共和国传染病报告卡》一致。</w:t>
            </w:r>
          </w:p>
          <w:p>
            <w:pPr>
              <w:widowControl/>
              <w:jc w:val="left"/>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3</w:t>
            </w:r>
            <w:r>
              <w:rPr>
                <w:rFonts w:hint="eastAsia" w:cs="宋体" w:asciiTheme="minorEastAsia" w:hAnsiTheme="minorEastAsia" w:eastAsiaTheme="minorEastAsia"/>
                <w:color w:val="000000"/>
                <w:kern w:val="0"/>
                <w:sz w:val="21"/>
                <w:szCs w:val="21"/>
              </w:rPr>
              <w:t>.2其他上报卡上报</w:t>
            </w:r>
          </w:p>
          <w:p>
            <w:pPr>
              <w:widowControl/>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color w:val="000000"/>
                <w:kern w:val="0"/>
                <w:sz w:val="21"/>
                <w:szCs w:val="21"/>
              </w:rPr>
              <w:t>肿瘤上报卡、脑卒中和心肌梗死上报卡、死亡上报卡、农药中毒上报卡、疑似职业病报告卡、食源性疾病上报卡、AFP病例报告卡、孕产</w:t>
            </w:r>
            <w:r>
              <w:rPr>
                <w:rFonts w:hint="eastAsia" w:cs="宋体" w:asciiTheme="minorEastAsia" w:hAnsiTheme="minorEastAsia" w:eastAsiaTheme="minorEastAsia"/>
                <w:kern w:val="0"/>
                <w:sz w:val="21"/>
                <w:szCs w:val="21"/>
              </w:rPr>
              <w:t>妇死亡报告卡、儿童死亡报告卡、慢阻肺上报卡</w:t>
            </w:r>
          </w:p>
          <w:p>
            <w:pPr>
              <w:widowControl/>
              <w:jc w:val="left"/>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3.3 艾滋病随访表</w:t>
            </w:r>
          </w:p>
          <w:p>
            <w:pPr>
              <w:widowControl/>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bCs/>
                <w:kern w:val="0"/>
                <w:sz w:val="21"/>
                <w:szCs w:val="21"/>
              </w:rPr>
              <w:t>支持标准的艾滋病随访表填写管理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3" w:hRule="atLeast"/>
        </w:trPr>
        <w:tc>
          <w:tcPr>
            <w:tcW w:w="960" w:type="dxa"/>
            <w:noWrap/>
          </w:tcPr>
          <w:p>
            <w:pPr>
              <w:widowControl/>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4</w:t>
            </w:r>
          </w:p>
        </w:tc>
        <w:tc>
          <w:tcPr>
            <w:tcW w:w="1167" w:type="dxa"/>
            <w:noWrap/>
          </w:tcPr>
          <w:p>
            <w:pPr>
              <w:widowControl/>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统计查询</w:t>
            </w:r>
          </w:p>
        </w:tc>
        <w:tc>
          <w:tcPr>
            <w:tcW w:w="7337" w:type="dxa"/>
          </w:tcPr>
          <w:p>
            <w:pPr>
              <w:widowControl/>
              <w:jc w:val="left"/>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4</w:t>
            </w:r>
            <w:r>
              <w:rPr>
                <w:rFonts w:hint="eastAsia" w:cs="宋体" w:asciiTheme="minorEastAsia" w:hAnsiTheme="minorEastAsia" w:eastAsiaTheme="minorEastAsia"/>
                <w:color w:val="000000"/>
                <w:kern w:val="0"/>
                <w:sz w:val="21"/>
                <w:szCs w:val="21"/>
              </w:rPr>
              <w:t>.1传染病上报卡统计分析</w:t>
            </w:r>
          </w:p>
          <w:p>
            <w:pPr>
              <w:widowControl/>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传染病按科室、医生、种类、病名统计</w:t>
            </w:r>
          </w:p>
          <w:p>
            <w:pPr>
              <w:widowControl/>
              <w:jc w:val="left"/>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4</w:t>
            </w:r>
            <w:r>
              <w:rPr>
                <w:rFonts w:hint="eastAsia" w:cs="宋体" w:asciiTheme="minorEastAsia" w:hAnsiTheme="minorEastAsia" w:eastAsiaTheme="minorEastAsia"/>
                <w:color w:val="000000"/>
                <w:kern w:val="0"/>
                <w:sz w:val="21"/>
                <w:szCs w:val="21"/>
              </w:rPr>
              <w:t>.2生成统计报表</w:t>
            </w:r>
          </w:p>
          <w:p>
            <w:pPr>
              <w:widowControl/>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kern w:val="0"/>
                <w:sz w:val="21"/>
                <w:szCs w:val="21"/>
              </w:rPr>
              <w:t>支持生成以下报表：传染</w:t>
            </w:r>
            <w:r>
              <w:rPr>
                <w:rFonts w:hint="eastAsia" w:cs="宋体" w:asciiTheme="minorEastAsia" w:hAnsiTheme="minorEastAsia" w:eastAsiaTheme="minorEastAsia"/>
                <w:color w:val="000000"/>
                <w:kern w:val="0"/>
                <w:sz w:val="21"/>
                <w:szCs w:val="21"/>
              </w:rPr>
              <w:t>病检验科阳性反馈登记表、传染病放射科阳性反馈登记表、传染病迟报漏报患者基本信息登记表、梅毒季报表、性病病例汇总表、免疫规划相关疾病病例月报、农药中毒网报工作记录表、食源性疾病监测登记表、食源性疾病报卡登记表、食源性疾病报卡统计、死亡病人登记本、死亡按科室统计、死亡按根本死因统计</w:t>
            </w:r>
          </w:p>
          <w:p>
            <w:pPr>
              <w:widowControl/>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支持以列表的形式展示相关患者基本信息和传染病上报卡信息，并打印结果</w:t>
            </w:r>
          </w:p>
          <w:p>
            <w:pPr>
              <w:widowControl/>
              <w:jc w:val="left"/>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4</w:t>
            </w:r>
            <w:r>
              <w:rPr>
                <w:rFonts w:hint="eastAsia" w:cs="宋体" w:asciiTheme="minorEastAsia" w:hAnsiTheme="minorEastAsia" w:eastAsiaTheme="minorEastAsia"/>
                <w:color w:val="000000"/>
                <w:kern w:val="0"/>
                <w:sz w:val="21"/>
                <w:szCs w:val="21"/>
              </w:rPr>
              <w:t>.3查询</w:t>
            </w:r>
          </w:p>
          <w:p>
            <w:pPr>
              <w:widowControl/>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支持在任意界面使用姓名、住院号以模糊匹配的方式查询患者，双击弹出病例。</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支持按入院日期、出院日期、科室、传染病预警、传染病报卡、慢病预警、慢病报卡、发热等信息的任意组合筛选病例。</w:t>
            </w:r>
          </w:p>
          <w:p>
            <w:pPr>
              <w:widowControl/>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支持按上报日期、上报卡状态、门诊/住院、传染病诊断、科室等信息的任意组合查询传染病上报卡。</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支持以列表的形式展示相关患者基本信息和传染病上报卡信息，并打印查询结果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43" w:hRule="atLeast"/>
        </w:trPr>
        <w:tc>
          <w:tcPr>
            <w:tcW w:w="960" w:type="dxa"/>
            <w:noWrap/>
          </w:tcPr>
          <w:p>
            <w:pPr>
              <w:widowControl/>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5</w:t>
            </w:r>
          </w:p>
        </w:tc>
        <w:tc>
          <w:tcPr>
            <w:tcW w:w="1167" w:type="dxa"/>
            <w:noWrap/>
          </w:tcPr>
          <w:p>
            <w:pPr>
              <w:widowControl/>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网络直报</w:t>
            </w:r>
          </w:p>
        </w:tc>
        <w:tc>
          <w:tcPr>
            <w:tcW w:w="7337" w:type="dxa"/>
          </w:tcPr>
          <w:p>
            <w:pPr>
              <w:widowControl/>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w:t>
            </w:r>
            <w:r>
              <w:rPr>
                <w:rFonts w:cs="宋体" w:asciiTheme="minorEastAsia" w:hAnsiTheme="minorEastAsia" w:eastAsiaTheme="minorEastAsia"/>
                <w:color w:val="000000"/>
                <w:kern w:val="0"/>
                <w:sz w:val="21"/>
                <w:szCs w:val="21"/>
              </w:rPr>
              <w:t>5</w:t>
            </w:r>
            <w:r>
              <w:rPr>
                <w:rFonts w:hint="eastAsia" w:cs="宋体" w:asciiTheme="minorEastAsia" w:hAnsiTheme="minorEastAsia" w:eastAsiaTheme="minorEastAsia"/>
                <w:color w:val="000000"/>
                <w:kern w:val="0"/>
                <w:sz w:val="21"/>
                <w:szCs w:val="21"/>
              </w:rPr>
              <w:t>.1传染病报告卡</w:t>
            </w:r>
            <w:r>
              <w:rPr>
                <w:rFonts w:hint="eastAsia" w:cs="宋体" w:asciiTheme="minorEastAsia" w:hAnsiTheme="minorEastAsia" w:eastAsiaTheme="minorEastAsia"/>
                <w:color w:val="000000"/>
                <w:kern w:val="0"/>
                <w:sz w:val="21"/>
                <w:szCs w:val="21"/>
              </w:rPr>
              <w:br w:type="textWrapping"/>
            </w:r>
            <w:r>
              <w:rPr>
                <w:rFonts w:hint="eastAsia" w:cs="宋体" w:asciiTheme="minorEastAsia" w:hAnsiTheme="minorEastAsia" w:eastAsiaTheme="minorEastAsia"/>
                <w:color w:val="000000"/>
                <w:kern w:val="0"/>
                <w:sz w:val="21"/>
                <w:szCs w:val="21"/>
              </w:rPr>
              <w:t>支持在内外网同时通的条件下，单张直报CDC网站。</w:t>
            </w:r>
          </w:p>
          <w:p>
            <w:pPr>
              <w:widowControl/>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支持在内外网隔离的条件下，从内网以文件形式批量导出传染病报告卡，然后文件拷贝到外网后，可以单张直报CDC网站。</w:t>
            </w:r>
          </w:p>
          <w:p>
            <w:pPr>
              <w:widowControl/>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支持查看报卡详细情况，方便和网页上自动填报的数据进行对比。</w:t>
            </w:r>
          </w:p>
          <w:p>
            <w:pPr>
              <w:widowControl/>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支持对卡片是否上报进行标识。</w:t>
            </w:r>
          </w:p>
          <w:p>
            <w:pPr>
              <w:widowControl/>
              <w:jc w:val="left"/>
              <w:rPr>
                <w:rFonts w:cs="宋体" w:asciiTheme="minorEastAsia" w:hAnsiTheme="minorEastAsia" w:eastAsiaTheme="minorEastAsia"/>
                <w:color w:val="000000"/>
                <w:kern w:val="0"/>
                <w:sz w:val="21"/>
                <w:szCs w:val="21"/>
              </w:rPr>
            </w:pPr>
            <w:r>
              <w:rPr>
                <w:rFonts w:cs="宋体" w:asciiTheme="minorEastAsia" w:hAnsiTheme="minorEastAsia" w:eastAsiaTheme="minorEastAsia"/>
                <w:color w:val="000000"/>
                <w:kern w:val="0"/>
                <w:sz w:val="21"/>
                <w:szCs w:val="21"/>
              </w:rPr>
              <w:t>5</w:t>
            </w:r>
            <w:r>
              <w:rPr>
                <w:rFonts w:hint="eastAsia" w:cs="宋体" w:asciiTheme="minorEastAsia" w:hAnsiTheme="minorEastAsia" w:eastAsiaTheme="minorEastAsia"/>
                <w:color w:val="000000"/>
                <w:kern w:val="0"/>
                <w:sz w:val="21"/>
                <w:szCs w:val="21"/>
              </w:rPr>
              <w:t>.2死亡上报卡</w:t>
            </w:r>
          </w:p>
          <w:p>
            <w:pPr>
              <w:widowControl/>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支持在内外网同时通的条件下，单张直报CDC网站；在内外网隔离的条件下，从内网以文件形式批量导出死亡上报卡，然后文件拷贝到外网后，可以单张直报CDC网站。</w:t>
            </w:r>
          </w:p>
          <w:p>
            <w:pPr>
              <w:widowControl/>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支持查看报卡详细情况，方便和网页上自动填报的数据进行对比。</w:t>
            </w:r>
          </w:p>
          <w:p>
            <w:pPr>
              <w:widowControl/>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支持对卡片是否上报进行标识。</w:t>
            </w:r>
            <w:r>
              <w:rPr>
                <w:rFonts w:hint="eastAsia" w:cs="宋体" w:asciiTheme="minorEastAsia" w:hAnsiTheme="minorEastAsia" w:eastAsiaTheme="minorEastAsia"/>
                <w:color w:val="000000"/>
                <w:kern w:val="0"/>
                <w:sz w:val="21"/>
                <w:szCs w:val="21"/>
              </w:rPr>
              <w:br w:type="textWrapping"/>
            </w:r>
            <w:r>
              <w:rPr>
                <w:rFonts w:cs="宋体" w:asciiTheme="minorEastAsia" w:hAnsiTheme="minorEastAsia" w:eastAsiaTheme="minorEastAsia"/>
                <w:color w:val="000000"/>
                <w:kern w:val="0"/>
                <w:sz w:val="21"/>
                <w:szCs w:val="21"/>
              </w:rPr>
              <w:t>5</w:t>
            </w:r>
            <w:r>
              <w:rPr>
                <w:rFonts w:hint="eastAsia" w:cs="宋体" w:asciiTheme="minorEastAsia" w:hAnsiTheme="minorEastAsia" w:eastAsiaTheme="minorEastAsia"/>
                <w:color w:val="000000"/>
                <w:kern w:val="0"/>
                <w:sz w:val="21"/>
                <w:szCs w:val="21"/>
              </w:rPr>
              <w:t>.3肿瘤报告卡、食源性疾病报告卡、脑卒中报告卡</w:t>
            </w:r>
          </w:p>
          <w:p>
            <w:pPr>
              <w:widowControl/>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支持批量按全国平台标准格式导出上报模板EXCE文件，并可将上报模板EXCE文件批量导入全国平台。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32" w:hRule="atLeast"/>
        </w:trPr>
        <w:tc>
          <w:tcPr>
            <w:tcW w:w="960" w:type="dxa"/>
            <w:noWrap/>
          </w:tcPr>
          <w:p>
            <w:pPr>
              <w:widowControl/>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6</w:t>
            </w:r>
          </w:p>
        </w:tc>
        <w:tc>
          <w:tcPr>
            <w:tcW w:w="1167" w:type="dxa"/>
            <w:noWrap/>
          </w:tcPr>
          <w:p>
            <w:pPr>
              <w:widowControl/>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通知助手</w:t>
            </w:r>
          </w:p>
        </w:tc>
        <w:tc>
          <w:tcPr>
            <w:tcW w:w="7337" w:type="dxa"/>
          </w:tcPr>
          <w:p>
            <w:pPr>
              <w:widowControl/>
              <w:jc w:val="lef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6</w:t>
            </w:r>
            <w:r>
              <w:rPr>
                <w:rFonts w:hint="eastAsia" w:cs="宋体" w:asciiTheme="minorEastAsia" w:hAnsiTheme="minorEastAsia" w:eastAsiaTheme="minorEastAsia"/>
                <w:kern w:val="0"/>
                <w:sz w:val="21"/>
                <w:szCs w:val="21"/>
              </w:rPr>
              <w:t>.1管理科室可通过通知助手，提醒临床各种待办事宜。</w:t>
            </w:r>
          </w:p>
          <w:p>
            <w:pPr>
              <w:widowControl/>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支持的待办事宜包括：传染病预警、慢病预警、传染病报卡、慢病报卡、通知等。</w:t>
            </w:r>
          </w:p>
          <w:p>
            <w:pPr>
              <w:widowControl/>
              <w:jc w:val="lef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6</w:t>
            </w:r>
            <w:r>
              <w:rPr>
                <w:rFonts w:hint="eastAsia" w:cs="宋体" w:asciiTheme="minorEastAsia" w:hAnsiTheme="minorEastAsia" w:eastAsiaTheme="minorEastAsia"/>
                <w:kern w:val="0"/>
                <w:sz w:val="21"/>
                <w:szCs w:val="21"/>
              </w:rPr>
              <w:t>.2支持实时推送新的待办事宜通知到医生端，点击通知直接跳转到处理相关事项的界面。支持反复提醒临床医生未完成事项。</w:t>
            </w:r>
          </w:p>
          <w:p>
            <w:pPr>
              <w:widowControl/>
              <w:jc w:val="lef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6</w:t>
            </w:r>
            <w:r>
              <w:rPr>
                <w:rFonts w:hint="eastAsia" w:cs="宋体" w:asciiTheme="minorEastAsia" w:hAnsiTheme="minorEastAsia" w:eastAsiaTheme="minorEastAsia"/>
                <w:kern w:val="0"/>
                <w:sz w:val="21"/>
                <w:szCs w:val="21"/>
              </w:rPr>
              <w:t>.3可通过短信，推送消息给医生。推送消息的内容和推送时机，可根据管理科室的需求进行定制化开发。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960" w:type="dxa"/>
            <w:noWrap/>
          </w:tcPr>
          <w:p>
            <w:pPr>
              <w:widowControl/>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7</w:t>
            </w:r>
          </w:p>
        </w:tc>
        <w:tc>
          <w:tcPr>
            <w:tcW w:w="1167" w:type="dxa"/>
            <w:noWrap/>
          </w:tcPr>
          <w:p>
            <w:pPr>
              <w:widowControl/>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职业暴露</w:t>
            </w:r>
          </w:p>
        </w:tc>
        <w:tc>
          <w:tcPr>
            <w:tcW w:w="7337" w:type="dxa"/>
          </w:tcPr>
          <w:p>
            <w:pPr>
              <w:widowControl/>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7</w:t>
            </w:r>
            <w:r>
              <w:rPr>
                <w:rFonts w:cs="宋体" w:asciiTheme="minorEastAsia" w:hAnsiTheme="minorEastAsia" w:eastAsiaTheme="minorEastAsia"/>
                <w:kern w:val="0"/>
                <w:sz w:val="21"/>
                <w:szCs w:val="21"/>
              </w:rPr>
              <w:t xml:space="preserve">.1 </w:t>
            </w:r>
            <w:r>
              <w:rPr>
                <w:rFonts w:hint="eastAsia" w:cs="宋体" w:asciiTheme="minorEastAsia" w:hAnsiTheme="minorEastAsia" w:eastAsiaTheme="minorEastAsia"/>
                <w:kern w:val="0"/>
                <w:sz w:val="21"/>
                <w:szCs w:val="21"/>
              </w:rPr>
              <w:t>支持血液和体液暴露上报。</w:t>
            </w:r>
          </w:p>
          <w:p>
            <w:pPr>
              <w:widowControl/>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7</w:t>
            </w:r>
            <w:r>
              <w:rPr>
                <w:rFonts w:cs="宋体" w:asciiTheme="minorEastAsia" w:hAnsiTheme="minorEastAsia" w:eastAsiaTheme="minorEastAsia"/>
                <w:kern w:val="0"/>
                <w:sz w:val="21"/>
                <w:szCs w:val="21"/>
              </w:rPr>
              <w:t xml:space="preserve">.2 </w:t>
            </w:r>
            <w:r>
              <w:rPr>
                <w:rFonts w:hint="eastAsia" w:cs="宋体" w:asciiTheme="minorEastAsia" w:hAnsiTheme="minorEastAsia" w:eastAsiaTheme="minorEastAsia"/>
                <w:kern w:val="0"/>
                <w:sz w:val="21"/>
                <w:szCs w:val="21"/>
              </w:rPr>
              <w:t>支持针刺伤和锐器伤上报。</w:t>
            </w:r>
          </w:p>
          <w:p>
            <w:pPr>
              <w:widowControl/>
              <w:jc w:val="left"/>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7.3 可对院方需要监控的医疗锐器、血液、体液暴露等进行跟踪监测；</w:t>
            </w:r>
          </w:p>
          <w:p>
            <w:pPr>
              <w:widowControl/>
              <w:jc w:val="left"/>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7.4 可对在院医生与职工在院内的受伤情况、地点等等信息做登记，并根据检验结果确认，医护人员是否感染，并通过填写对应表格，上报到院感科室，可以及时查看到，并及时处理；</w:t>
            </w:r>
          </w:p>
          <w:p>
            <w:pPr>
              <w:widowControl/>
              <w:jc w:val="left"/>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7.5 可以查看已登记的职业伤害报表，并可打印报职业伤害报表。</w:t>
            </w:r>
          </w:p>
          <w:p>
            <w:pPr>
              <w:widowControl/>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bCs/>
                <w:kern w:val="0"/>
                <w:sz w:val="21"/>
                <w:szCs w:val="21"/>
              </w:rPr>
              <w:t>7.6 可跟踪管理暴露工作人员，需要用药、需要检测内容，并且可定期提醒检测人员。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7" w:hRule="atLeast"/>
        </w:trPr>
        <w:tc>
          <w:tcPr>
            <w:tcW w:w="960" w:type="dxa"/>
            <w:noWrap/>
          </w:tcPr>
          <w:p>
            <w:pPr>
              <w:widowControl/>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8</w:t>
            </w:r>
          </w:p>
        </w:tc>
        <w:tc>
          <w:tcPr>
            <w:tcW w:w="1167" w:type="dxa"/>
            <w:noWrap/>
          </w:tcPr>
          <w:p>
            <w:pPr>
              <w:widowControl/>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技术要求</w:t>
            </w:r>
          </w:p>
        </w:tc>
        <w:tc>
          <w:tcPr>
            <w:tcW w:w="7337" w:type="dxa"/>
          </w:tcPr>
          <w:p>
            <w:pPr>
              <w:widowControl/>
              <w:jc w:val="left"/>
              <w:rPr>
                <w:rFonts w:cs="宋体" w:asciiTheme="minorEastAsia" w:hAnsiTheme="minorEastAsia" w:eastAsiaTheme="minorEastAsia"/>
                <w:bCs/>
                <w:kern w:val="0"/>
                <w:sz w:val="21"/>
                <w:szCs w:val="21"/>
              </w:rPr>
            </w:pPr>
            <w:r>
              <w:rPr>
                <w:rFonts w:cs="宋体" w:asciiTheme="minorEastAsia" w:hAnsiTheme="minorEastAsia" w:eastAsiaTheme="minorEastAsia"/>
                <w:bCs/>
                <w:kern w:val="0"/>
                <w:sz w:val="21"/>
                <w:szCs w:val="21"/>
              </w:rPr>
              <w:t>8</w:t>
            </w:r>
            <w:r>
              <w:rPr>
                <w:rFonts w:hint="eastAsia" w:cs="宋体" w:asciiTheme="minorEastAsia" w:hAnsiTheme="minorEastAsia" w:eastAsiaTheme="minorEastAsia"/>
                <w:bCs/>
                <w:kern w:val="0"/>
                <w:sz w:val="21"/>
                <w:szCs w:val="21"/>
              </w:rPr>
              <w:t>.1采用B/S架构</w:t>
            </w:r>
          </w:p>
          <w:p>
            <w:pPr>
              <w:widowControl/>
              <w:jc w:val="left"/>
              <w:rPr>
                <w:rFonts w:cs="宋体" w:asciiTheme="minorEastAsia" w:hAnsiTheme="minorEastAsia" w:eastAsiaTheme="minorEastAsia"/>
                <w:bCs/>
                <w:kern w:val="0"/>
                <w:sz w:val="21"/>
                <w:szCs w:val="21"/>
              </w:rPr>
            </w:pPr>
            <w:r>
              <w:rPr>
                <w:rFonts w:cs="宋体" w:asciiTheme="minorEastAsia" w:hAnsiTheme="minorEastAsia" w:eastAsiaTheme="minorEastAsia"/>
                <w:bCs/>
                <w:kern w:val="0"/>
                <w:sz w:val="21"/>
                <w:szCs w:val="21"/>
              </w:rPr>
              <w:t>8</w:t>
            </w:r>
            <w:r>
              <w:rPr>
                <w:rFonts w:hint="eastAsia" w:cs="宋体" w:asciiTheme="minorEastAsia" w:hAnsiTheme="minorEastAsia" w:eastAsiaTheme="minorEastAsia"/>
                <w:bCs/>
                <w:kern w:val="0"/>
                <w:sz w:val="21"/>
                <w:szCs w:val="21"/>
              </w:rPr>
              <w:t>.2具备国家版权局出具的著作权登记证书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7" w:hRule="atLeast"/>
        </w:trPr>
        <w:tc>
          <w:tcPr>
            <w:tcW w:w="960" w:type="dxa"/>
            <w:noWrap/>
          </w:tcPr>
          <w:p>
            <w:pPr>
              <w:widowControl/>
              <w:topLinePunct/>
              <w:autoSpaceDE w:val="0"/>
              <w:adjustRightInd w:val="0"/>
              <w:spacing w:line="360" w:lineRule="auto"/>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9</w:t>
            </w:r>
          </w:p>
          <w:p>
            <w:pPr>
              <w:widowControl/>
              <w:topLinePunct/>
              <w:autoSpaceDE w:val="0"/>
              <w:adjustRightInd w:val="0"/>
              <w:spacing w:line="360" w:lineRule="auto"/>
              <w:jc w:val="center"/>
              <w:rPr>
                <w:rFonts w:cs="宋体" w:asciiTheme="minorEastAsia" w:hAnsiTheme="minorEastAsia" w:eastAsiaTheme="minorEastAsia"/>
                <w:bCs/>
                <w:kern w:val="0"/>
                <w:sz w:val="21"/>
                <w:szCs w:val="21"/>
              </w:rPr>
            </w:pPr>
          </w:p>
        </w:tc>
        <w:tc>
          <w:tcPr>
            <w:tcW w:w="1167" w:type="dxa"/>
            <w:noWrap/>
          </w:tcPr>
          <w:p>
            <w:pPr>
              <w:widowControl/>
              <w:topLinePunct/>
              <w:autoSpaceDE w:val="0"/>
              <w:adjustRightInd w:val="0"/>
              <w:jc w:val="center"/>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支持远程办公和移动办公</w:t>
            </w:r>
          </w:p>
        </w:tc>
        <w:tc>
          <w:tcPr>
            <w:tcW w:w="7337" w:type="dxa"/>
          </w:tcPr>
          <w:p>
            <w:pPr>
              <w:widowControl/>
              <w:topLinePunct/>
              <w:autoSpaceDE w:val="0"/>
              <w:adjustRightInd w:val="0"/>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★9.1在医院网络环境（前置机、堡垒机等）支持的情况下，系统可以支持远程办公，例如：在家、在外地、有互联网的环境均可以使用以上所有功能。</w:t>
            </w:r>
          </w:p>
          <w:p>
            <w:pPr>
              <w:widowControl/>
              <w:topLinePunct/>
              <w:autoSpaceDE w:val="0"/>
              <w:adjustRightInd w:val="0"/>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9.2系统可以在手机（苹果系统、安卓系统）、iPad、平板电脑等移动终端运行以上系统所有功能。</w:t>
            </w:r>
          </w:p>
        </w:tc>
      </w:tr>
    </w:tbl>
    <w:p>
      <w:pPr>
        <w:jc w:val="left"/>
        <w:rPr>
          <w:rFonts w:ascii="黑体" w:hAnsi="黑体" w:eastAsia="黑体" w:cs="Times New Roman"/>
          <w:b/>
          <w:kern w:val="0"/>
          <w:sz w:val="18"/>
          <w:szCs w:val="18"/>
        </w:rPr>
      </w:pPr>
      <w:r>
        <w:rPr>
          <w:rFonts w:hint="eastAsia" w:ascii="黑体" w:hAnsi="黑体" w:eastAsia="黑体" w:cs="Times New Roman"/>
          <w:b/>
          <w:kern w:val="0"/>
          <w:sz w:val="18"/>
          <w:szCs w:val="18"/>
        </w:rPr>
        <w:t>注</w:t>
      </w:r>
      <w:r>
        <w:rPr>
          <w:rFonts w:hint="eastAsia" w:cs="宋体" w:asciiTheme="minorEastAsia" w:hAnsiTheme="minorEastAsia"/>
          <w:color w:val="000000"/>
          <w:kern w:val="0"/>
          <w:szCs w:val="21"/>
        </w:rPr>
        <w:t>★</w:t>
      </w:r>
      <w:r>
        <w:rPr>
          <w:rFonts w:hint="eastAsia" w:ascii="黑体" w:hAnsi="黑体" w:eastAsia="黑体" w:cs="Times New Roman"/>
          <w:b/>
          <w:kern w:val="0"/>
          <w:sz w:val="18"/>
          <w:szCs w:val="18"/>
        </w:rPr>
        <w:t>参数为核心参数</w:t>
      </w:r>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sz w:val="24"/>
        <w:szCs w:val="24"/>
      </w:rPr>
    </w:pPr>
    <w:r>
      <w:rPr>
        <w:rFonts w:hint="eastAsia"/>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3</w:t>
    </w:r>
    <w:r>
      <w:rPr>
        <w:rStyle w:val="21"/>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sz w:val="24"/>
        <w:szCs w:val="24"/>
      </w:rPr>
    </w:pPr>
    <w:r>
      <w:rPr>
        <w:rFonts w:hint="eastAsia"/>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18</w:t>
    </w:r>
    <w:r>
      <w:rPr>
        <w:rStyle w:val="21"/>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rFonts w:ascii="宋体"/>
        <w:sz w:val="24"/>
        <w:szCs w:val="24"/>
      </w:rPr>
    </w:pPr>
    <w:r>
      <w:rPr>
        <w:rFonts w:hint="eastAsia" w:ascii="宋体"/>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29</w:t>
    </w:r>
    <w:r>
      <w:rPr>
        <w:rStyle w:val="21"/>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97"/>
  <w:drawingGridVerticalSpacing w:val="20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70A7"/>
    <w:rsid w:val="0002753B"/>
    <w:rsid w:val="00027CF2"/>
    <w:rsid w:val="00037330"/>
    <w:rsid w:val="000404BD"/>
    <w:rsid w:val="00040F12"/>
    <w:rsid w:val="000532D8"/>
    <w:rsid w:val="00054C92"/>
    <w:rsid w:val="00057277"/>
    <w:rsid w:val="000617F8"/>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E58DC"/>
    <w:rsid w:val="000F19EE"/>
    <w:rsid w:val="000F68D1"/>
    <w:rsid w:val="00101A4E"/>
    <w:rsid w:val="001146EE"/>
    <w:rsid w:val="0011544D"/>
    <w:rsid w:val="001175A3"/>
    <w:rsid w:val="00126E2A"/>
    <w:rsid w:val="00140433"/>
    <w:rsid w:val="00141DF3"/>
    <w:rsid w:val="00146B8C"/>
    <w:rsid w:val="00151352"/>
    <w:rsid w:val="00151D52"/>
    <w:rsid w:val="00153547"/>
    <w:rsid w:val="00154A37"/>
    <w:rsid w:val="00156746"/>
    <w:rsid w:val="00162BA1"/>
    <w:rsid w:val="00165CC1"/>
    <w:rsid w:val="00167E17"/>
    <w:rsid w:val="00172231"/>
    <w:rsid w:val="00174EC9"/>
    <w:rsid w:val="00181015"/>
    <w:rsid w:val="00187861"/>
    <w:rsid w:val="001A083F"/>
    <w:rsid w:val="001A14C3"/>
    <w:rsid w:val="001A345F"/>
    <w:rsid w:val="001A4FD9"/>
    <w:rsid w:val="001B14E3"/>
    <w:rsid w:val="001B7705"/>
    <w:rsid w:val="001C3758"/>
    <w:rsid w:val="001D0023"/>
    <w:rsid w:val="001D1B14"/>
    <w:rsid w:val="001E3296"/>
    <w:rsid w:val="001E34F3"/>
    <w:rsid w:val="001E460B"/>
    <w:rsid w:val="00214820"/>
    <w:rsid w:val="00224E5F"/>
    <w:rsid w:val="00226556"/>
    <w:rsid w:val="002425C9"/>
    <w:rsid w:val="002474B3"/>
    <w:rsid w:val="00262C6B"/>
    <w:rsid w:val="00265A44"/>
    <w:rsid w:val="002A09F2"/>
    <w:rsid w:val="002A2C39"/>
    <w:rsid w:val="002A65C6"/>
    <w:rsid w:val="002B6E50"/>
    <w:rsid w:val="002C0F66"/>
    <w:rsid w:val="002C1147"/>
    <w:rsid w:val="002C5CFF"/>
    <w:rsid w:val="002C6A11"/>
    <w:rsid w:val="002D0387"/>
    <w:rsid w:val="002D12A7"/>
    <w:rsid w:val="002D331A"/>
    <w:rsid w:val="002D4DA1"/>
    <w:rsid w:val="002D6D42"/>
    <w:rsid w:val="002E3D9F"/>
    <w:rsid w:val="002F1927"/>
    <w:rsid w:val="002F6C52"/>
    <w:rsid w:val="003027C7"/>
    <w:rsid w:val="00303E33"/>
    <w:rsid w:val="00320218"/>
    <w:rsid w:val="003222A0"/>
    <w:rsid w:val="00326B80"/>
    <w:rsid w:val="003316B1"/>
    <w:rsid w:val="003407DF"/>
    <w:rsid w:val="003470EC"/>
    <w:rsid w:val="00354E1F"/>
    <w:rsid w:val="00360C37"/>
    <w:rsid w:val="003813C8"/>
    <w:rsid w:val="0038362B"/>
    <w:rsid w:val="00384C3A"/>
    <w:rsid w:val="00387C50"/>
    <w:rsid w:val="0039032C"/>
    <w:rsid w:val="00396F45"/>
    <w:rsid w:val="003A0065"/>
    <w:rsid w:val="003A0B24"/>
    <w:rsid w:val="003B09EC"/>
    <w:rsid w:val="003B09F3"/>
    <w:rsid w:val="003B3BD0"/>
    <w:rsid w:val="003C0056"/>
    <w:rsid w:val="003C64FC"/>
    <w:rsid w:val="003C7F91"/>
    <w:rsid w:val="003F338D"/>
    <w:rsid w:val="003F5B3D"/>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2C18"/>
    <w:rsid w:val="004E35E3"/>
    <w:rsid w:val="004E6AEB"/>
    <w:rsid w:val="004F142D"/>
    <w:rsid w:val="004F5E12"/>
    <w:rsid w:val="00503A7C"/>
    <w:rsid w:val="00511818"/>
    <w:rsid w:val="00516632"/>
    <w:rsid w:val="005222C3"/>
    <w:rsid w:val="00522CA7"/>
    <w:rsid w:val="00531671"/>
    <w:rsid w:val="00532B1E"/>
    <w:rsid w:val="00533850"/>
    <w:rsid w:val="00534859"/>
    <w:rsid w:val="005401BD"/>
    <w:rsid w:val="00551FC2"/>
    <w:rsid w:val="00554F2D"/>
    <w:rsid w:val="00560BBB"/>
    <w:rsid w:val="00563E2F"/>
    <w:rsid w:val="00564319"/>
    <w:rsid w:val="00564B59"/>
    <w:rsid w:val="00576044"/>
    <w:rsid w:val="00576112"/>
    <w:rsid w:val="00577DD4"/>
    <w:rsid w:val="00585142"/>
    <w:rsid w:val="00592C5C"/>
    <w:rsid w:val="005A24EB"/>
    <w:rsid w:val="005A29A0"/>
    <w:rsid w:val="005B13C9"/>
    <w:rsid w:val="005B382F"/>
    <w:rsid w:val="005B5235"/>
    <w:rsid w:val="005C50D9"/>
    <w:rsid w:val="005C5539"/>
    <w:rsid w:val="005D1458"/>
    <w:rsid w:val="005D5EDA"/>
    <w:rsid w:val="005E2274"/>
    <w:rsid w:val="005E6410"/>
    <w:rsid w:val="005F2C28"/>
    <w:rsid w:val="005F3E10"/>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25A4"/>
    <w:rsid w:val="00677854"/>
    <w:rsid w:val="006846E0"/>
    <w:rsid w:val="00692DE9"/>
    <w:rsid w:val="00696F01"/>
    <w:rsid w:val="006979A0"/>
    <w:rsid w:val="006A14FA"/>
    <w:rsid w:val="006A7511"/>
    <w:rsid w:val="006B13AA"/>
    <w:rsid w:val="006B2818"/>
    <w:rsid w:val="006C1884"/>
    <w:rsid w:val="006C1CF4"/>
    <w:rsid w:val="006C6D5D"/>
    <w:rsid w:val="006D2D2E"/>
    <w:rsid w:val="006D6637"/>
    <w:rsid w:val="006E2984"/>
    <w:rsid w:val="006E5F9F"/>
    <w:rsid w:val="006E67F2"/>
    <w:rsid w:val="006F15B6"/>
    <w:rsid w:val="006F181B"/>
    <w:rsid w:val="00707914"/>
    <w:rsid w:val="00707FEE"/>
    <w:rsid w:val="007122C0"/>
    <w:rsid w:val="00717C01"/>
    <w:rsid w:val="007264A9"/>
    <w:rsid w:val="0073357E"/>
    <w:rsid w:val="0074178F"/>
    <w:rsid w:val="007500FA"/>
    <w:rsid w:val="00756021"/>
    <w:rsid w:val="0076446C"/>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D583C"/>
    <w:rsid w:val="008E0677"/>
    <w:rsid w:val="008E3548"/>
    <w:rsid w:val="008E43CB"/>
    <w:rsid w:val="008F2ED3"/>
    <w:rsid w:val="008F3C8F"/>
    <w:rsid w:val="008F3D33"/>
    <w:rsid w:val="008F4528"/>
    <w:rsid w:val="008F7856"/>
    <w:rsid w:val="0090127B"/>
    <w:rsid w:val="00903989"/>
    <w:rsid w:val="00916D12"/>
    <w:rsid w:val="00932621"/>
    <w:rsid w:val="00932681"/>
    <w:rsid w:val="009350B3"/>
    <w:rsid w:val="00942048"/>
    <w:rsid w:val="0094231D"/>
    <w:rsid w:val="00946502"/>
    <w:rsid w:val="009466D5"/>
    <w:rsid w:val="009478E9"/>
    <w:rsid w:val="009727C6"/>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7D63"/>
    <w:rsid w:val="00A036A2"/>
    <w:rsid w:val="00A03B1E"/>
    <w:rsid w:val="00A072CB"/>
    <w:rsid w:val="00A10AA1"/>
    <w:rsid w:val="00A20EFA"/>
    <w:rsid w:val="00A2139C"/>
    <w:rsid w:val="00A22A78"/>
    <w:rsid w:val="00A23F41"/>
    <w:rsid w:val="00A272F7"/>
    <w:rsid w:val="00A27C6B"/>
    <w:rsid w:val="00A45B45"/>
    <w:rsid w:val="00A522F8"/>
    <w:rsid w:val="00A56167"/>
    <w:rsid w:val="00A6539D"/>
    <w:rsid w:val="00A6734F"/>
    <w:rsid w:val="00A829B8"/>
    <w:rsid w:val="00A85F86"/>
    <w:rsid w:val="00A93B99"/>
    <w:rsid w:val="00AA43E5"/>
    <w:rsid w:val="00AB090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575B"/>
    <w:rsid w:val="00B30981"/>
    <w:rsid w:val="00B32656"/>
    <w:rsid w:val="00B40B03"/>
    <w:rsid w:val="00B56E30"/>
    <w:rsid w:val="00B57CA4"/>
    <w:rsid w:val="00B66C1E"/>
    <w:rsid w:val="00B67EE1"/>
    <w:rsid w:val="00B741B4"/>
    <w:rsid w:val="00B8070C"/>
    <w:rsid w:val="00B81FFF"/>
    <w:rsid w:val="00BA55FB"/>
    <w:rsid w:val="00BB5DEA"/>
    <w:rsid w:val="00BC12B2"/>
    <w:rsid w:val="00BC1727"/>
    <w:rsid w:val="00BD07A7"/>
    <w:rsid w:val="00BD5F97"/>
    <w:rsid w:val="00BD7A73"/>
    <w:rsid w:val="00BD7E70"/>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66B88"/>
    <w:rsid w:val="00C7014A"/>
    <w:rsid w:val="00C76787"/>
    <w:rsid w:val="00C8222E"/>
    <w:rsid w:val="00C834FA"/>
    <w:rsid w:val="00C840DC"/>
    <w:rsid w:val="00C84595"/>
    <w:rsid w:val="00C8795F"/>
    <w:rsid w:val="00C929CC"/>
    <w:rsid w:val="00CB02C8"/>
    <w:rsid w:val="00CB1178"/>
    <w:rsid w:val="00CB37F9"/>
    <w:rsid w:val="00CC0E4A"/>
    <w:rsid w:val="00CC1FAE"/>
    <w:rsid w:val="00CD3A99"/>
    <w:rsid w:val="00CD46E0"/>
    <w:rsid w:val="00CE4AC8"/>
    <w:rsid w:val="00CE66D3"/>
    <w:rsid w:val="00D03CBD"/>
    <w:rsid w:val="00D12374"/>
    <w:rsid w:val="00D12ABC"/>
    <w:rsid w:val="00D1746D"/>
    <w:rsid w:val="00D27EB7"/>
    <w:rsid w:val="00D37ADF"/>
    <w:rsid w:val="00D40A20"/>
    <w:rsid w:val="00D47BC2"/>
    <w:rsid w:val="00D51588"/>
    <w:rsid w:val="00D53C28"/>
    <w:rsid w:val="00D7048A"/>
    <w:rsid w:val="00D93183"/>
    <w:rsid w:val="00DA3A11"/>
    <w:rsid w:val="00DA6119"/>
    <w:rsid w:val="00DA6CAB"/>
    <w:rsid w:val="00DB0600"/>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1FC5"/>
    <w:rsid w:val="00E26DAD"/>
    <w:rsid w:val="00E3174A"/>
    <w:rsid w:val="00E41380"/>
    <w:rsid w:val="00E439DE"/>
    <w:rsid w:val="00E46E3C"/>
    <w:rsid w:val="00E5386A"/>
    <w:rsid w:val="00E60B3D"/>
    <w:rsid w:val="00E74634"/>
    <w:rsid w:val="00E7484E"/>
    <w:rsid w:val="00E838D5"/>
    <w:rsid w:val="00E8648F"/>
    <w:rsid w:val="00E90F02"/>
    <w:rsid w:val="00E9224E"/>
    <w:rsid w:val="00E9244B"/>
    <w:rsid w:val="00E94981"/>
    <w:rsid w:val="00EA0E56"/>
    <w:rsid w:val="00EB77AB"/>
    <w:rsid w:val="00EC3A1C"/>
    <w:rsid w:val="00EC796A"/>
    <w:rsid w:val="00F00713"/>
    <w:rsid w:val="00F01F2D"/>
    <w:rsid w:val="00F02BBD"/>
    <w:rsid w:val="00F10272"/>
    <w:rsid w:val="00F11CF3"/>
    <w:rsid w:val="00F24887"/>
    <w:rsid w:val="00F2646C"/>
    <w:rsid w:val="00F32C5F"/>
    <w:rsid w:val="00F34741"/>
    <w:rsid w:val="00F42021"/>
    <w:rsid w:val="00F54271"/>
    <w:rsid w:val="00F54CD2"/>
    <w:rsid w:val="00F5553D"/>
    <w:rsid w:val="00F55708"/>
    <w:rsid w:val="00F61B44"/>
    <w:rsid w:val="00F74336"/>
    <w:rsid w:val="00F75355"/>
    <w:rsid w:val="00F76A38"/>
    <w:rsid w:val="00F77CF0"/>
    <w:rsid w:val="00F94D11"/>
    <w:rsid w:val="00FA4E4F"/>
    <w:rsid w:val="00FB2E1B"/>
    <w:rsid w:val="00FB5116"/>
    <w:rsid w:val="00FB5E65"/>
    <w:rsid w:val="00FC15F7"/>
    <w:rsid w:val="00FC33D8"/>
    <w:rsid w:val="00FD5363"/>
    <w:rsid w:val="00FE133A"/>
    <w:rsid w:val="00FE2A78"/>
    <w:rsid w:val="00FF5ABB"/>
    <w:rsid w:val="00FF768E"/>
    <w:rsid w:val="12FB5EA9"/>
    <w:rsid w:val="2F026A7F"/>
    <w:rsid w:val="3AE56528"/>
    <w:rsid w:val="4BF26AA1"/>
    <w:rsid w:val="53565D23"/>
    <w:rsid w:val="7A224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4"/>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5"/>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30"/>
    <w:qFormat/>
    <w:uiPriority w:val="0"/>
    <w:rPr>
      <w:rFonts w:ascii="Times New Roman" w:hAnsi="Times New Roman" w:eastAsia="宋体" w:cs="Times New Roman"/>
      <w:kern w:val="0"/>
      <w:szCs w:val="24"/>
    </w:rPr>
  </w:style>
  <w:style w:type="paragraph" w:styleId="7">
    <w:name w:val="Body Text Indent"/>
    <w:basedOn w:val="1"/>
    <w:link w:val="29"/>
    <w:qFormat/>
    <w:uiPriority w:val="0"/>
    <w:pPr>
      <w:ind w:firstLine="555"/>
    </w:pPr>
    <w:rPr>
      <w:rFonts w:ascii="Times New Roman" w:hAnsi="Times New Roman" w:eastAsia="宋体" w:cs="Times New Roman"/>
      <w:kern w:val="0"/>
      <w:sz w:val="24"/>
      <w:szCs w:val="24"/>
    </w:rPr>
  </w:style>
  <w:style w:type="paragraph" w:styleId="8">
    <w:name w:val="Plain Text"/>
    <w:basedOn w:val="1"/>
    <w:link w:val="36"/>
    <w:qFormat/>
    <w:uiPriority w:val="0"/>
    <w:rPr>
      <w:rFonts w:ascii="宋体" w:hAnsi="Courier New" w:eastAsia="宋体" w:cs="Courier New"/>
      <w:sz w:val="24"/>
      <w:szCs w:val="21"/>
    </w:rPr>
  </w:style>
  <w:style w:type="paragraph" w:styleId="9">
    <w:name w:val="Date"/>
    <w:basedOn w:val="1"/>
    <w:next w:val="1"/>
    <w:link w:val="48"/>
    <w:semiHidden/>
    <w:unhideWhenUsed/>
    <w:qFormat/>
    <w:uiPriority w:val="99"/>
    <w:pPr>
      <w:ind w:left="100" w:leftChars="2500"/>
    </w:pPr>
  </w:style>
  <w:style w:type="paragraph" w:styleId="10">
    <w:name w:val="Body Text Indent 2"/>
    <w:basedOn w:val="1"/>
    <w:link w:val="28"/>
    <w:qFormat/>
    <w:uiPriority w:val="0"/>
    <w:pPr>
      <w:spacing w:line="540" w:lineRule="exact"/>
      <w:ind w:firstLine="630"/>
    </w:pPr>
    <w:rPr>
      <w:rFonts w:ascii="Times New Roman" w:hAnsi="Times New Roman" w:eastAsia="宋体" w:cs="Times New Roman"/>
      <w:kern w:val="0"/>
      <w:sz w:val="24"/>
      <w:szCs w:val="24"/>
    </w:rPr>
  </w:style>
  <w:style w:type="paragraph" w:styleId="11">
    <w:name w:val="Balloon Text"/>
    <w:basedOn w:val="1"/>
    <w:link w:val="37"/>
    <w:semiHidden/>
    <w:qFormat/>
    <w:uiPriority w:val="0"/>
    <w:rPr>
      <w:rFonts w:ascii="Times New Roman" w:hAnsi="Times New Roman" w:eastAsia="宋体" w:cs="Times New Roman"/>
      <w:kern w:val="0"/>
      <w:sz w:val="18"/>
      <w:szCs w:val="18"/>
    </w:rPr>
  </w:style>
  <w:style w:type="paragraph" w:styleId="12">
    <w:name w:val="footer"/>
    <w:basedOn w:val="1"/>
    <w:link w:val="26"/>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3">
    <w:name w:val="header"/>
    <w:basedOn w:val="1"/>
    <w:link w:val="2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4">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5">
    <w:name w:val="Body Text 2"/>
    <w:basedOn w:val="1"/>
    <w:link w:val="31"/>
    <w:qFormat/>
    <w:uiPriority w:val="0"/>
    <w:pPr>
      <w:jc w:val="center"/>
    </w:pPr>
    <w:rPr>
      <w:rFonts w:ascii="Times New Roman" w:hAnsi="Times New Roman" w:eastAsia="宋体" w:cs="Times New Roman"/>
      <w:kern w:val="0"/>
      <w:szCs w:val="24"/>
    </w:rPr>
  </w:style>
  <w:style w:type="paragraph" w:styleId="16">
    <w:name w:val="HTML Preformatted"/>
    <w:basedOn w:val="1"/>
    <w:link w:val="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styleId="17">
    <w:name w:val="index 1"/>
    <w:basedOn w:val="1"/>
    <w:next w:val="1"/>
    <w:semiHidden/>
    <w:qFormat/>
    <w:uiPriority w:val="0"/>
    <w:rPr>
      <w:rFonts w:ascii="Times New Roman" w:hAnsi="Times New Roman" w:eastAsia="宋体" w:cs="Times New Roman"/>
      <w:kern w:val="0"/>
      <w:sz w:val="24"/>
      <w:szCs w:val="24"/>
    </w:rPr>
  </w:style>
  <w:style w:type="table" w:styleId="19">
    <w:name w:val="Table Grid"/>
    <w:basedOn w:val="18"/>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page number"/>
    <w:basedOn w:val="20"/>
    <w:qFormat/>
    <w:uiPriority w:val="0"/>
    <w:rPr>
      <w:rFonts w:cs="Times New Roman"/>
    </w:rPr>
  </w:style>
  <w:style w:type="character" w:styleId="22">
    <w:name w:val="Hyperlink"/>
    <w:basedOn w:val="20"/>
    <w:qFormat/>
    <w:uiPriority w:val="99"/>
    <w:rPr>
      <w:rFonts w:cs="Times New Roman"/>
      <w:color w:val="0000FF"/>
      <w:u w:val="single"/>
    </w:rPr>
  </w:style>
  <w:style w:type="character" w:customStyle="1" w:styleId="23">
    <w:name w:val="标题 1 Char"/>
    <w:basedOn w:val="20"/>
    <w:link w:val="2"/>
    <w:qFormat/>
    <w:uiPriority w:val="0"/>
    <w:rPr>
      <w:rFonts w:ascii="Times New Roman" w:hAnsi="Times New Roman" w:eastAsia="宋体" w:cs="Times New Roman"/>
      <w:b/>
      <w:bCs/>
      <w:kern w:val="44"/>
      <w:sz w:val="44"/>
      <w:szCs w:val="44"/>
    </w:rPr>
  </w:style>
  <w:style w:type="character" w:customStyle="1" w:styleId="24">
    <w:name w:val="标题 2 Char"/>
    <w:basedOn w:val="20"/>
    <w:link w:val="3"/>
    <w:qFormat/>
    <w:uiPriority w:val="0"/>
    <w:rPr>
      <w:rFonts w:ascii="Arial" w:hAnsi="Arial" w:eastAsia="黑体" w:cs="Times New Roman"/>
      <w:b/>
      <w:kern w:val="0"/>
      <w:sz w:val="32"/>
      <w:szCs w:val="20"/>
    </w:rPr>
  </w:style>
  <w:style w:type="character" w:customStyle="1" w:styleId="25">
    <w:name w:val="页眉 Char"/>
    <w:basedOn w:val="20"/>
    <w:link w:val="13"/>
    <w:qFormat/>
    <w:uiPriority w:val="0"/>
    <w:rPr>
      <w:rFonts w:ascii="Times New Roman" w:hAnsi="Times New Roman" w:eastAsia="宋体" w:cs="Times New Roman"/>
      <w:kern w:val="0"/>
      <w:sz w:val="18"/>
      <w:szCs w:val="18"/>
    </w:rPr>
  </w:style>
  <w:style w:type="character" w:customStyle="1" w:styleId="26">
    <w:name w:val="页脚 Char"/>
    <w:basedOn w:val="20"/>
    <w:link w:val="12"/>
    <w:qFormat/>
    <w:uiPriority w:val="0"/>
    <w:rPr>
      <w:rFonts w:ascii="Times New Roman" w:hAnsi="Times New Roman" w:eastAsia="宋体" w:cs="Times New Roman"/>
      <w:kern w:val="0"/>
      <w:sz w:val="18"/>
      <w:szCs w:val="18"/>
    </w:rPr>
  </w:style>
  <w:style w:type="paragraph" w:customStyle="1" w:styleId="27">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8">
    <w:name w:val="正文文本缩进 2 Char"/>
    <w:basedOn w:val="20"/>
    <w:link w:val="10"/>
    <w:qFormat/>
    <w:uiPriority w:val="0"/>
    <w:rPr>
      <w:rFonts w:ascii="Times New Roman" w:hAnsi="Times New Roman" w:eastAsia="宋体" w:cs="Times New Roman"/>
      <w:kern w:val="0"/>
      <w:sz w:val="24"/>
      <w:szCs w:val="24"/>
    </w:rPr>
  </w:style>
  <w:style w:type="character" w:customStyle="1" w:styleId="29">
    <w:name w:val="正文文本缩进 Char"/>
    <w:basedOn w:val="20"/>
    <w:link w:val="7"/>
    <w:qFormat/>
    <w:uiPriority w:val="0"/>
    <w:rPr>
      <w:rFonts w:ascii="Times New Roman" w:hAnsi="Times New Roman" w:eastAsia="宋体" w:cs="Times New Roman"/>
      <w:kern w:val="0"/>
      <w:sz w:val="24"/>
      <w:szCs w:val="24"/>
    </w:rPr>
  </w:style>
  <w:style w:type="character" w:customStyle="1" w:styleId="30">
    <w:name w:val="正文文本 Char"/>
    <w:basedOn w:val="20"/>
    <w:link w:val="6"/>
    <w:qFormat/>
    <w:uiPriority w:val="0"/>
    <w:rPr>
      <w:rFonts w:ascii="Times New Roman" w:hAnsi="Times New Roman" w:eastAsia="宋体" w:cs="Times New Roman"/>
      <w:kern w:val="0"/>
      <w:szCs w:val="24"/>
    </w:rPr>
  </w:style>
  <w:style w:type="character" w:customStyle="1" w:styleId="31">
    <w:name w:val="正文文本 2 Char"/>
    <w:basedOn w:val="20"/>
    <w:link w:val="15"/>
    <w:qFormat/>
    <w:uiPriority w:val="0"/>
    <w:rPr>
      <w:rFonts w:ascii="Times New Roman" w:hAnsi="Times New Roman" w:eastAsia="宋体" w:cs="Times New Roman"/>
      <w:kern w:val="0"/>
      <w:szCs w:val="24"/>
    </w:rPr>
  </w:style>
  <w:style w:type="paragraph" w:customStyle="1" w:styleId="32">
    <w:name w:val="样式1"/>
    <w:basedOn w:val="2"/>
    <w:qFormat/>
    <w:uiPriority w:val="0"/>
    <w:pPr>
      <w:spacing w:line="640" w:lineRule="exact"/>
      <w:jc w:val="center"/>
    </w:pPr>
    <w:rPr>
      <w:rFonts w:ascii="方正小标宋简体" w:hAnsi="华文中宋" w:eastAsia="方正小标宋简体"/>
      <w:b w:val="0"/>
    </w:rPr>
  </w:style>
  <w:style w:type="paragraph" w:customStyle="1" w:styleId="33">
    <w:name w:val="样式2"/>
    <w:basedOn w:val="2"/>
    <w:qFormat/>
    <w:uiPriority w:val="0"/>
    <w:pPr>
      <w:spacing w:line="640" w:lineRule="exact"/>
      <w:jc w:val="center"/>
    </w:pPr>
    <w:rPr>
      <w:rFonts w:ascii="方正小标宋简体" w:hAnsi="华文中宋" w:eastAsia="方正小标宋简体"/>
      <w:b w:val="0"/>
    </w:rPr>
  </w:style>
  <w:style w:type="paragraph" w:customStyle="1" w:styleId="34">
    <w:name w:val="样式3"/>
    <w:basedOn w:val="2"/>
    <w:qFormat/>
    <w:uiPriority w:val="0"/>
    <w:pPr>
      <w:spacing w:line="640" w:lineRule="exact"/>
      <w:jc w:val="center"/>
    </w:pPr>
    <w:rPr>
      <w:rFonts w:ascii="方正小标宋简体" w:hAnsi="华文中宋" w:eastAsia="方正小标宋简体"/>
      <w:b w:val="0"/>
    </w:rPr>
  </w:style>
  <w:style w:type="character" w:customStyle="1" w:styleId="35">
    <w:name w:val="文档结构图 Char"/>
    <w:basedOn w:val="20"/>
    <w:link w:val="5"/>
    <w:semiHidden/>
    <w:qFormat/>
    <w:uiPriority w:val="0"/>
    <w:rPr>
      <w:rFonts w:ascii="Times New Roman" w:hAnsi="Times New Roman" w:eastAsia="宋体" w:cs="Times New Roman"/>
      <w:kern w:val="0"/>
      <w:sz w:val="24"/>
      <w:szCs w:val="24"/>
      <w:shd w:val="clear" w:color="auto" w:fill="000080"/>
    </w:rPr>
  </w:style>
  <w:style w:type="character" w:customStyle="1" w:styleId="36">
    <w:name w:val="纯文本 Char"/>
    <w:basedOn w:val="20"/>
    <w:link w:val="8"/>
    <w:qFormat/>
    <w:uiPriority w:val="0"/>
    <w:rPr>
      <w:rFonts w:ascii="宋体" w:hAnsi="Courier New" w:eastAsia="宋体" w:cs="Courier New"/>
      <w:sz w:val="24"/>
      <w:szCs w:val="21"/>
    </w:rPr>
  </w:style>
  <w:style w:type="character" w:customStyle="1" w:styleId="37">
    <w:name w:val="批注框文本 Char"/>
    <w:basedOn w:val="20"/>
    <w:link w:val="11"/>
    <w:semiHidden/>
    <w:qFormat/>
    <w:uiPriority w:val="0"/>
    <w:rPr>
      <w:rFonts w:ascii="Times New Roman" w:hAnsi="Times New Roman" w:eastAsia="宋体" w:cs="Times New Roman"/>
      <w:kern w:val="0"/>
      <w:sz w:val="18"/>
      <w:szCs w:val="18"/>
    </w:rPr>
  </w:style>
  <w:style w:type="paragraph" w:customStyle="1" w:styleId="38">
    <w:name w:val="列出段落1"/>
    <w:basedOn w:val="1"/>
    <w:link w:val="42"/>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9">
    <w:name w:val="1111111199999"/>
    <w:basedOn w:val="1"/>
    <w:link w:val="40"/>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40">
    <w:name w:val="1111111199999 Char"/>
    <w:link w:val="39"/>
    <w:qFormat/>
    <w:locked/>
    <w:uiPriority w:val="0"/>
    <w:rPr>
      <w:rFonts w:ascii="Times New Roman" w:hAnsi="Times New Roman" w:eastAsia="宋体" w:cs="Times New Roman"/>
      <w:kern w:val="0"/>
      <w:szCs w:val="20"/>
    </w:rPr>
  </w:style>
  <w:style w:type="character" w:customStyle="1" w:styleId="41">
    <w:name w:val="apple-style-span"/>
    <w:qFormat/>
    <w:uiPriority w:val="0"/>
  </w:style>
  <w:style w:type="character" w:customStyle="1" w:styleId="42">
    <w:name w:val="List Paragraph Char"/>
    <w:link w:val="38"/>
    <w:qFormat/>
    <w:locked/>
    <w:uiPriority w:val="0"/>
    <w:rPr>
      <w:rFonts w:ascii="Calibri" w:hAnsi="Calibri" w:eastAsia="宋体" w:cs="Times New Roman"/>
      <w:kern w:val="0"/>
      <w:sz w:val="22"/>
      <w:szCs w:val="20"/>
      <w:lang w:eastAsia="en-US"/>
    </w:rPr>
  </w:style>
  <w:style w:type="paragraph" w:customStyle="1" w:styleId="43">
    <w:name w:val="Char Char Char Char"/>
    <w:basedOn w:val="1"/>
    <w:qFormat/>
    <w:uiPriority w:val="0"/>
    <w:rPr>
      <w:rFonts w:ascii="Times New Roman" w:hAnsi="Times New Roman" w:eastAsia="宋体" w:cs="Times New Roman"/>
      <w:sz w:val="24"/>
      <w:szCs w:val="36"/>
    </w:rPr>
  </w:style>
  <w:style w:type="character" w:customStyle="1" w:styleId="44">
    <w:name w:val="Char Char4"/>
    <w:qFormat/>
    <w:locked/>
    <w:uiPriority w:val="0"/>
    <w:rPr>
      <w:rFonts w:ascii="宋体" w:hAnsi="Courier New" w:eastAsia="宋体"/>
      <w:kern w:val="2"/>
      <w:sz w:val="21"/>
      <w:lang w:bidi="ar-SA"/>
    </w:rPr>
  </w:style>
  <w:style w:type="character" w:customStyle="1" w:styleId="45">
    <w:name w:val="样式 (中文) 仿宋_GB2312 三号"/>
    <w:basedOn w:val="20"/>
    <w:qFormat/>
    <w:uiPriority w:val="0"/>
    <w:rPr>
      <w:rFonts w:hint="eastAsia" w:ascii="仿宋_GB2312" w:eastAsia="仿宋_GB2312"/>
      <w:sz w:val="32"/>
    </w:rPr>
  </w:style>
  <w:style w:type="character" w:customStyle="1" w:styleId="46">
    <w:name w:val="Char Char3"/>
    <w:basedOn w:val="20"/>
    <w:qFormat/>
    <w:locked/>
    <w:uiPriority w:val="0"/>
    <w:rPr>
      <w:rFonts w:ascii="宋体" w:hAnsi="宋体" w:eastAsia="宋体"/>
      <w:sz w:val="18"/>
      <w:szCs w:val="18"/>
      <w:lang w:val="en-US" w:eastAsia="zh-CN" w:bidi="ar-SA"/>
    </w:rPr>
  </w:style>
  <w:style w:type="character" w:customStyle="1" w:styleId="47">
    <w:name w:val="HTML 预设格式 Char"/>
    <w:basedOn w:val="20"/>
    <w:link w:val="16"/>
    <w:qFormat/>
    <w:uiPriority w:val="0"/>
    <w:rPr>
      <w:rFonts w:ascii="黑体" w:hAnsi="Courier New" w:eastAsia="黑体" w:cs="Times New Roman"/>
      <w:kern w:val="0"/>
      <w:sz w:val="20"/>
      <w:szCs w:val="20"/>
    </w:rPr>
  </w:style>
  <w:style w:type="character" w:customStyle="1" w:styleId="48">
    <w:name w:val="日期 Char"/>
    <w:basedOn w:val="20"/>
    <w:link w:val="9"/>
    <w:semiHidden/>
    <w:qFormat/>
    <w:uiPriority w:val="99"/>
  </w:style>
  <w:style w:type="table" w:customStyle="1" w:styleId="49">
    <w:name w:val="网格型2"/>
    <w:basedOn w:val="18"/>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0">
    <w:name w:val="网格型61"/>
    <w:basedOn w:val="18"/>
    <w:unhideWhenUsed/>
    <w:qFormat/>
    <w:uiPriority w:val="9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51">
    <w:name w:val="网格型64"/>
    <w:basedOn w:val="18"/>
    <w:unhideWhenUsed/>
    <w:qFormat/>
    <w:uiPriority w:val="9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52">
    <w:name w:val="网格型68"/>
    <w:basedOn w:val="18"/>
    <w:unhideWhenUsed/>
    <w:qFormat/>
    <w:uiPriority w:val="9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3E8304-3A81-4D16-9929-11254F37738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65</Pages>
  <Words>4715</Words>
  <Characters>26881</Characters>
  <Lines>224</Lines>
  <Paragraphs>63</Paragraphs>
  <TotalTime>1</TotalTime>
  <ScaleCrop>false</ScaleCrop>
  <LinksUpToDate>false</LinksUpToDate>
  <CharactersWithSpaces>31533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2020-07-28T03:09:00Z</cp:lastPrinted>
  <dcterms:modified xsi:type="dcterms:W3CDTF">2020-10-28T01:17:53Z</dcterms:modified>
  <cp:revision>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