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50" w:rsidRPr="00DB305B" w:rsidRDefault="00977750" w:rsidP="00DB305B">
      <w:pPr>
        <w:jc w:val="center"/>
        <w:rPr>
          <w:rFonts w:ascii="宋体" w:eastAsia="宋体" w:hAnsi="宋体" w:cs="Arial"/>
          <w:sz w:val="28"/>
          <w:szCs w:val="28"/>
        </w:rPr>
      </w:pPr>
      <w:r w:rsidRPr="0057546D">
        <w:rPr>
          <w:rFonts w:ascii="宋体" w:eastAsia="宋体" w:hAnsi="宋体" w:cs="Arial" w:hint="eastAsia"/>
          <w:sz w:val="28"/>
          <w:szCs w:val="28"/>
        </w:rPr>
        <w:t>项目名称：</w:t>
      </w:r>
      <w:r w:rsidR="00F752D4">
        <w:rPr>
          <w:rFonts w:ascii="宋体" w:eastAsia="宋体" w:hAnsi="宋体" w:cs="Arial" w:hint="eastAsia"/>
          <w:sz w:val="28"/>
          <w:szCs w:val="28"/>
        </w:rPr>
        <w:t>智慧教学数据机房建设</w:t>
      </w:r>
    </w:p>
    <w:p w:rsidR="00977750" w:rsidRPr="0057546D" w:rsidRDefault="00977750" w:rsidP="0057546D">
      <w:pPr>
        <w:pStyle w:val="a6"/>
        <w:numPr>
          <w:ilvl w:val="0"/>
          <w:numId w:val="8"/>
        </w:numPr>
        <w:ind w:firstLineChars="0"/>
        <w:rPr>
          <w:rFonts w:ascii="宋体" w:eastAsia="宋体" w:hAnsi="宋体" w:cs="Times New Roman"/>
          <w:b/>
          <w:sz w:val="28"/>
          <w:szCs w:val="28"/>
        </w:rPr>
      </w:pPr>
      <w:r w:rsidRPr="0057546D">
        <w:rPr>
          <w:rFonts w:ascii="宋体" w:eastAsia="宋体" w:hAnsi="宋体" w:cs="Times New Roman" w:hint="eastAsia"/>
          <w:b/>
          <w:sz w:val="28"/>
          <w:szCs w:val="28"/>
        </w:rPr>
        <w:t>招标内容一览表</w:t>
      </w:r>
    </w:p>
    <w:tbl>
      <w:tblPr>
        <w:tblW w:w="8827" w:type="dxa"/>
        <w:tblLook w:val="04A0"/>
      </w:tblPr>
      <w:tblGrid>
        <w:gridCol w:w="1807"/>
        <w:gridCol w:w="3406"/>
        <w:gridCol w:w="1807"/>
        <w:gridCol w:w="1807"/>
      </w:tblGrid>
      <w:tr w:rsidR="00BF10F5" w:rsidRPr="00F752D4" w:rsidTr="00F752D4">
        <w:trPr>
          <w:trHeight w:val="307"/>
        </w:trPr>
        <w:tc>
          <w:tcPr>
            <w:tcW w:w="180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序号</w:t>
            </w:r>
          </w:p>
        </w:tc>
        <w:tc>
          <w:tcPr>
            <w:tcW w:w="3406" w:type="dxa"/>
            <w:tcBorders>
              <w:top w:val="single" w:sz="8" w:space="0" w:color="000000"/>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内容</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数量</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备注</w:t>
            </w:r>
          </w:p>
        </w:tc>
      </w:tr>
      <w:tr w:rsidR="00BF10F5" w:rsidRPr="00F752D4" w:rsidTr="00F752D4">
        <w:trPr>
          <w:trHeight w:val="307"/>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1</w:t>
            </w:r>
          </w:p>
        </w:tc>
        <w:tc>
          <w:tcPr>
            <w:tcW w:w="3406" w:type="dxa"/>
            <w:tcBorders>
              <w:top w:val="nil"/>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模块化机房</w:t>
            </w:r>
          </w:p>
        </w:tc>
        <w:tc>
          <w:tcPr>
            <w:tcW w:w="1807" w:type="dxa"/>
            <w:tcBorders>
              <w:top w:val="nil"/>
              <w:left w:val="nil"/>
              <w:bottom w:val="single" w:sz="8" w:space="0" w:color="000000"/>
              <w:right w:val="nil"/>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1套</w:t>
            </w:r>
          </w:p>
        </w:tc>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 xml:space="preserve">　</w:t>
            </w:r>
          </w:p>
        </w:tc>
      </w:tr>
      <w:tr w:rsidR="00BF10F5" w:rsidRPr="00F752D4" w:rsidTr="00F752D4">
        <w:trPr>
          <w:trHeight w:val="307"/>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2</w:t>
            </w:r>
          </w:p>
        </w:tc>
        <w:tc>
          <w:tcPr>
            <w:tcW w:w="3406" w:type="dxa"/>
            <w:tcBorders>
              <w:top w:val="nil"/>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超融合一体机硬件</w:t>
            </w:r>
          </w:p>
        </w:tc>
        <w:tc>
          <w:tcPr>
            <w:tcW w:w="1807" w:type="dxa"/>
            <w:tcBorders>
              <w:top w:val="nil"/>
              <w:left w:val="nil"/>
              <w:bottom w:val="single" w:sz="8" w:space="0" w:color="000000"/>
              <w:right w:val="nil"/>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1批</w:t>
            </w:r>
          </w:p>
        </w:tc>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 xml:space="preserve">　</w:t>
            </w:r>
          </w:p>
        </w:tc>
      </w:tr>
      <w:tr w:rsidR="00BF10F5" w:rsidRPr="00F752D4" w:rsidTr="00F752D4">
        <w:trPr>
          <w:trHeight w:val="307"/>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3</w:t>
            </w:r>
          </w:p>
        </w:tc>
        <w:tc>
          <w:tcPr>
            <w:tcW w:w="3406" w:type="dxa"/>
            <w:tcBorders>
              <w:top w:val="nil"/>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超融合底层交换系统</w:t>
            </w:r>
          </w:p>
        </w:tc>
        <w:tc>
          <w:tcPr>
            <w:tcW w:w="1807" w:type="dxa"/>
            <w:tcBorders>
              <w:top w:val="nil"/>
              <w:left w:val="nil"/>
              <w:bottom w:val="single" w:sz="8" w:space="0" w:color="000000"/>
              <w:right w:val="nil"/>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1套</w:t>
            </w:r>
          </w:p>
        </w:tc>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 xml:space="preserve">　</w:t>
            </w:r>
          </w:p>
        </w:tc>
      </w:tr>
      <w:tr w:rsidR="00BF10F5" w:rsidRPr="00F752D4" w:rsidTr="00F752D4">
        <w:trPr>
          <w:trHeight w:val="307"/>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4</w:t>
            </w:r>
          </w:p>
        </w:tc>
        <w:tc>
          <w:tcPr>
            <w:tcW w:w="3406" w:type="dxa"/>
            <w:tcBorders>
              <w:top w:val="nil"/>
              <w:left w:val="nil"/>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超融合控制系统</w:t>
            </w:r>
          </w:p>
        </w:tc>
        <w:tc>
          <w:tcPr>
            <w:tcW w:w="1807" w:type="dxa"/>
            <w:tcBorders>
              <w:top w:val="nil"/>
              <w:left w:val="nil"/>
              <w:bottom w:val="single" w:sz="8" w:space="0" w:color="000000"/>
              <w:right w:val="nil"/>
            </w:tcBorders>
            <w:shd w:val="clear" w:color="auto" w:fill="auto"/>
            <w:vAlign w:val="center"/>
            <w:hideMark/>
          </w:tcPr>
          <w:p w:rsidR="00BF10F5" w:rsidRPr="00F752D4" w:rsidRDefault="00BF10F5" w:rsidP="00BF10F5">
            <w:pPr>
              <w:widowControl/>
              <w:jc w:val="center"/>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20套</w:t>
            </w:r>
          </w:p>
        </w:tc>
        <w:tc>
          <w:tcPr>
            <w:tcW w:w="1807" w:type="dxa"/>
            <w:tcBorders>
              <w:top w:val="nil"/>
              <w:left w:val="single" w:sz="8" w:space="0" w:color="000000"/>
              <w:bottom w:val="single" w:sz="8" w:space="0" w:color="000000"/>
              <w:right w:val="single" w:sz="8" w:space="0" w:color="000000"/>
            </w:tcBorders>
            <w:shd w:val="clear" w:color="auto" w:fill="auto"/>
            <w:vAlign w:val="center"/>
            <w:hideMark/>
          </w:tcPr>
          <w:p w:rsidR="00BF10F5" w:rsidRPr="00F752D4" w:rsidRDefault="00BF10F5" w:rsidP="00BF10F5">
            <w:pPr>
              <w:widowControl/>
              <w:jc w:val="left"/>
              <w:rPr>
                <w:rFonts w:ascii="仿宋" w:eastAsia="仿宋" w:hAnsi="仿宋" w:cs="宋体"/>
                <w:color w:val="000000"/>
                <w:kern w:val="0"/>
                <w:sz w:val="24"/>
                <w:szCs w:val="24"/>
              </w:rPr>
            </w:pPr>
            <w:r w:rsidRPr="00F752D4">
              <w:rPr>
                <w:rFonts w:ascii="仿宋" w:eastAsia="仿宋" w:hAnsi="仿宋" w:cs="宋体" w:hint="eastAsia"/>
                <w:color w:val="000000"/>
                <w:kern w:val="0"/>
                <w:sz w:val="24"/>
                <w:szCs w:val="24"/>
              </w:rPr>
              <w:t xml:space="preserve">　</w:t>
            </w:r>
          </w:p>
        </w:tc>
      </w:tr>
    </w:tbl>
    <w:p w:rsidR="00977750" w:rsidRPr="00A258CD" w:rsidRDefault="00977750" w:rsidP="00977750">
      <w:pPr>
        <w:widowControl/>
        <w:topLinePunct/>
        <w:autoSpaceDE w:val="0"/>
        <w:adjustRightInd w:val="0"/>
        <w:spacing w:line="360" w:lineRule="auto"/>
        <w:rPr>
          <w:rFonts w:ascii="黑体" w:eastAsia="黑体" w:hAnsi="宋体" w:cs="宋体"/>
          <w:sz w:val="28"/>
          <w:szCs w:val="28"/>
        </w:rPr>
      </w:pPr>
      <w:r w:rsidRPr="00A258CD">
        <w:rPr>
          <w:rFonts w:ascii="黑体" w:eastAsia="黑体" w:hAnsi="宋体" w:cs="宋体" w:hint="eastAsia"/>
          <w:sz w:val="28"/>
          <w:szCs w:val="28"/>
        </w:rPr>
        <w:t>二、项目总体要求</w:t>
      </w:r>
    </w:p>
    <w:tbl>
      <w:tblPr>
        <w:tblStyle w:val="7"/>
        <w:tblW w:w="8897" w:type="dxa"/>
        <w:tblLook w:val="04A0"/>
      </w:tblPr>
      <w:tblGrid>
        <w:gridCol w:w="817"/>
        <w:gridCol w:w="1843"/>
        <w:gridCol w:w="6237"/>
      </w:tblGrid>
      <w:tr w:rsidR="00977750" w:rsidRPr="0057546D" w:rsidTr="00925211">
        <w:tc>
          <w:tcPr>
            <w:tcW w:w="817" w:type="dxa"/>
            <w:tcBorders>
              <w:right w:val="single" w:sz="4" w:space="0" w:color="auto"/>
            </w:tcBorders>
            <w:vAlign w:val="center"/>
          </w:tcPr>
          <w:p w:rsidR="00977750" w:rsidRPr="00F752D4" w:rsidRDefault="00977750" w:rsidP="00BF10F5">
            <w:pPr>
              <w:widowControl/>
              <w:jc w:val="center"/>
              <w:rPr>
                <w:rFonts w:ascii="仿宋" w:eastAsia="仿宋" w:hAnsi="仿宋" w:cs="宋体"/>
                <w:color w:val="000000"/>
                <w:sz w:val="24"/>
                <w:szCs w:val="24"/>
              </w:rPr>
            </w:pPr>
            <w:bookmarkStart w:id="0" w:name="_GoBack" w:colFirst="0" w:colLast="2"/>
            <w:r w:rsidRPr="00F752D4">
              <w:rPr>
                <w:rFonts w:ascii="仿宋" w:eastAsia="仿宋" w:hAnsi="仿宋" w:cs="宋体" w:hint="eastAsia"/>
                <w:color w:val="000000"/>
                <w:sz w:val="24"/>
                <w:szCs w:val="24"/>
              </w:rPr>
              <w:t>序号</w:t>
            </w:r>
          </w:p>
        </w:tc>
        <w:tc>
          <w:tcPr>
            <w:tcW w:w="1843" w:type="dxa"/>
            <w:tcBorders>
              <w:left w:val="single" w:sz="4" w:space="0" w:color="auto"/>
            </w:tcBorders>
            <w:vAlign w:val="center"/>
          </w:tcPr>
          <w:p w:rsidR="00977750" w:rsidRPr="00F752D4" w:rsidRDefault="00977750"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要求</w:t>
            </w:r>
          </w:p>
        </w:tc>
        <w:tc>
          <w:tcPr>
            <w:tcW w:w="6237" w:type="dxa"/>
            <w:vAlign w:val="bottom"/>
          </w:tcPr>
          <w:p w:rsidR="00977750" w:rsidRPr="00F752D4" w:rsidRDefault="00977750" w:rsidP="00BF10F5">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具体内容</w:t>
            </w:r>
          </w:p>
        </w:tc>
      </w:tr>
      <w:tr w:rsidR="00076071" w:rsidRPr="0057546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1</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平台接口</w:t>
            </w:r>
          </w:p>
        </w:tc>
        <w:tc>
          <w:tcPr>
            <w:tcW w:w="6237" w:type="dxa"/>
            <w:vAlign w:val="bottom"/>
          </w:tcPr>
          <w:p w:rsidR="00076071" w:rsidRPr="00F752D4" w:rsidRDefault="00076071" w:rsidP="009D0298">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融合我院智慧</w:t>
            </w:r>
            <w:r w:rsidR="009D0298">
              <w:rPr>
                <w:rFonts w:ascii="仿宋" w:eastAsia="仿宋" w:hAnsi="仿宋" w:cs="宋体" w:hint="eastAsia"/>
                <w:color w:val="000000"/>
                <w:sz w:val="24"/>
                <w:szCs w:val="24"/>
              </w:rPr>
              <w:t>教学</w:t>
            </w:r>
            <w:r w:rsidRPr="00F752D4">
              <w:rPr>
                <w:rFonts w:ascii="仿宋" w:eastAsia="仿宋" w:hAnsi="仿宋" w:cs="宋体" w:hint="eastAsia"/>
                <w:color w:val="000000"/>
                <w:sz w:val="24"/>
                <w:szCs w:val="24"/>
              </w:rPr>
              <w:t>平台统一管理，资源接口任意调用无瓶颈、无限制，无缝对接与管理。投标时提供与“西南医院智慧会议平台”对接融合及管理方案</w:t>
            </w:r>
          </w:p>
        </w:tc>
      </w:tr>
      <w:tr w:rsidR="00076071" w:rsidRPr="0057546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2</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color w:val="000000"/>
                <w:sz w:val="24"/>
                <w:szCs w:val="24"/>
              </w:rPr>
              <w:t>知识产权</w:t>
            </w:r>
          </w:p>
        </w:tc>
        <w:tc>
          <w:tcPr>
            <w:tcW w:w="6237" w:type="dxa"/>
            <w:vAlign w:val="bottom"/>
          </w:tcPr>
          <w:p w:rsidR="00076071" w:rsidRPr="00F752D4" w:rsidRDefault="00076071" w:rsidP="00BF10F5">
            <w:pPr>
              <w:widowControl/>
              <w:jc w:val="left"/>
              <w:rPr>
                <w:rFonts w:ascii="仿宋" w:eastAsia="仿宋" w:hAnsi="仿宋" w:cs="宋体"/>
                <w:color w:val="000000"/>
                <w:sz w:val="24"/>
                <w:szCs w:val="24"/>
              </w:rPr>
            </w:pPr>
            <w:r w:rsidRPr="00F752D4">
              <w:rPr>
                <w:rFonts w:ascii="仿宋" w:eastAsia="仿宋" w:hAnsi="仿宋" w:cs="宋体"/>
                <w:color w:val="000000"/>
                <w:sz w:val="24"/>
                <w:szCs w:val="24"/>
              </w:rPr>
              <w:t>所有软件</w:t>
            </w:r>
            <w:r w:rsidRPr="00F752D4">
              <w:rPr>
                <w:rFonts w:ascii="仿宋" w:eastAsia="仿宋" w:hAnsi="仿宋" w:cs="宋体" w:hint="eastAsia"/>
                <w:color w:val="000000"/>
                <w:sz w:val="24"/>
                <w:szCs w:val="24"/>
              </w:rPr>
              <w:t>与软、硬</w:t>
            </w:r>
            <w:r w:rsidRPr="00F752D4">
              <w:rPr>
                <w:rFonts w:ascii="仿宋" w:eastAsia="仿宋" w:hAnsi="仿宋" w:cs="宋体"/>
                <w:color w:val="000000"/>
                <w:sz w:val="24"/>
                <w:szCs w:val="24"/>
              </w:rPr>
              <w:t>结</w:t>
            </w:r>
            <w:proofErr w:type="gramStart"/>
            <w:r w:rsidRPr="00F752D4">
              <w:rPr>
                <w:rFonts w:ascii="仿宋" w:eastAsia="仿宋" w:hAnsi="仿宋" w:cs="宋体"/>
                <w:color w:val="000000"/>
                <w:sz w:val="24"/>
                <w:szCs w:val="24"/>
              </w:rPr>
              <w:t>合相关</w:t>
            </w:r>
            <w:proofErr w:type="gramEnd"/>
            <w:r w:rsidRPr="00F752D4">
              <w:rPr>
                <w:rFonts w:ascii="仿宋" w:eastAsia="仿宋" w:hAnsi="仿宋" w:cs="宋体"/>
                <w:color w:val="000000"/>
                <w:sz w:val="24"/>
                <w:szCs w:val="24"/>
              </w:rPr>
              <w:t>系统</w:t>
            </w:r>
            <w:r w:rsidRPr="00F752D4">
              <w:rPr>
                <w:rFonts w:ascii="仿宋" w:eastAsia="仿宋" w:hAnsi="仿宋" w:cs="宋体" w:hint="eastAsia"/>
                <w:color w:val="000000"/>
                <w:sz w:val="24"/>
                <w:szCs w:val="24"/>
              </w:rPr>
              <w:t>（包含底层数据控制、流程、驱动等）我院均有产品著作权及相关专利，中标公司需无偿帮助我院申请与办理</w:t>
            </w:r>
          </w:p>
        </w:tc>
      </w:tr>
      <w:tr w:rsidR="00076071" w:rsidRPr="0057546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3</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工期</w:t>
            </w:r>
          </w:p>
        </w:tc>
        <w:tc>
          <w:tcPr>
            <w:tcW w:w="6237" w:type="dxa"/>
            <w:vAlign w:val="bottom"/>
          </w:tcPr>
          <w:p w:rsidR="00076071" w:rsidRPr="00F752D4" w:rsidRDefault="00076071" w:rsidP="00BF10F5">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签订合同后60日内完成。</w:t>
            </w:r>
          </w:p>
        </w:tc>
      </w:tr>
      <w:tr w:rsidR="00076071" w:rsidRPr="0057546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4</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售后服务</w:t>
            </w:r>
          </w:p>
        </w:tc>
        <w:tc>
          <w:tcPr>
            <w:tcW w:w="6237" w:type="dxa"/>
            <w:vAlign w:val="bottom"/>
          </w:tcPr>
          <w:p w:rsidR="00076071" w:rsidRPr="00F752D4" w:rsidRDefault="00076071" w:rsidP="00BF10F5">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所有软硬件（包含线路等所有附件），自验收合格日</w:t>
            </w:r>
            <w:proofErr w:type="gramStart"/>
            <w:r w:rsidRPr="00F752D4">
              <w:rPr>
                <w:rFonts w:ascii="仿宋" w:eastAsia="仿宋" w:hAnsi="仿宋" w:cs="宋体" w:hint="eastAsia"/>
                <w:color w:val="000000"/>
                <w:sz w:val="24"/>
                <w:szCs w:val="24"/>
              </w:rPr>
              <w:t>起提供</w:t>
            </w:r>
            <w:proofErr w:type="gramEnd"/>
            <w:r w:rsidRPr="00F752D4">
              <w:rPr>
                <w:rFonts w:ascii="仿宋" w:eastAsia="仿宋" w:hAnsi="仿宋" w:cs="宋体" w:hint="eastAsia"/>
                <w:color w:val="000000"/>
                <w:sz w:val="24"/>
                <w:szCs w:val="24"/>
              </w:rPr>
              <w:t>3年以上原厂免费售后服务,故障响应：7*24小时。</w:t>
            </w:r>
          </w:p>
        </w:tc>
      </w:tr>
      <w:tr w:rsidR="00076071" w:rsidRPr="00A258C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5</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培训</w:t>
            </w:r>
          </w:p>
        </w:tc>
        <w:tc>
          <w:tcPr>
            <w:tcW w:w="6237" w:type="dxa"/>
            <w:vAlign w:val="bottom"/>
          </w:tcPr>
          <w:p w:rsidR="00076071" w:rsidRPr="00F752D4" w:rsidRDefault="00076071" w:rsidP="00BF10F5">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对我院使用人员进行至少2轮培训（具体内容按医院要求制定），至少培养2名完全掌握系统的工作人员。</w:t>
            </w:r>
          </w:p>
        </w:tc>
      </w:tr>
      <w:tr w:rsidR="00076071" w:rsidRPr="00A258CD" w:rsidTr="00925211">
        <w:tc>
          <w:tcPr>
            <w:tcW w:w="817" w:type="dxa"/>
            <w:tcBorders>
              <w:righ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6</w:t>
            </w:r>
          </w:p>
        </w:tc>
        <w:tc>
          <w:tcPr>
            <w:tcW w:w="1843" w:type="dxa"/>
            <w:tcBorders>
              <w:left w:val="single" w:sz="4" w:space="0" w:color="auto"/>
            </w:tcBorders>
            <w:vAlign w:val="center"/>
          </w:tcPr>
          <w:p w:rsidR="00076071" w:rsidRPr="00F752D4" w:rsidRDefault="00076071" w:rsidP="00BF10F5">
            <w:pPr>
              <w:widowControl/>
              <w:jc w:val="center"/>
              <w:rPr>
                <w:rFonts w:ascii="仿宋" w:eastAsia="仿宋" w:hAnsi="仿宋" w:cs="宋体"/>
                <w:color w:val="000000"/>
                <w:sz w:val="24"/>
                <w:szCs w:val="24"/>
              </w:rPr>
            </w:pPr>
            <w:r w:rsidRPr="00F752D4">
              <w:rPr>
                <w:rFonts w:ascii="仿宋" w:eastAsia="仿宋" w:hAnsi="仿宋" w:cs="宋体" w:hint="eastAsia"/>
                <w:color w:val="000000"/>
                <w:sz w:val="24"/>
                <w:szCs w:val="24"/>
              </w:rPr>
              <w:t>参数确认</w:t>
            </w:r>
          </w:p>
        </w:tc>
        <w:tc>
          <w:tcPr>
            <w:tcW w:w="6237" w:type="dxa"/>
            <w:vAlign w:val="bottom"/>
          </w:tcPr>
          <w:p w:rsidR="00076071" w:rsidRPr="00F752D4" w:rsidRDefault="00076071" w:rsidP="00BF10F5">
            <w:pPr>
              <w:widowControl/>
              <w:jc w:val="left"/>
              <w:rPr>
                <w:rFonts w:ascii="仿宋" w:eastAsia="仿宋" w:hAnsi="仿宋" w:cs="宋体"/>
                <w:color w:val="000000"/>
                <w:sz w:val="24"/>
                <w:szCs w:val="24"/>
              </w:rPr>
            </w:pPr>
            <w:r w:rsidRPr="00F752D4">
              <w:rPr>
                <w:rFonts w:ascii="仿宋" w:eastAsia="仿宋" w:hAnsi="仿宋" w:cs="宋体" w:hint="eastAsia"/>
                <w:color w:val="000000"/>
                <w:sz w:val="24"/>
                <w:szCs w:val="24"/>
              </w:rPr>
              <w:t>核心硬件产品需提供原设备生产厂商出具的参数确认函，盖</w:t>
            </w:r>
            <w:proofErr w:type="gramStart"/>
            <w:r w:rsidRPr="00F752D4">
              <w:rPr>
                <w:rFonts w:ascii="仿宋" w:eastAsia="仿宋" w:hAnsi="仿宋" w:cs="宋体" w:hint="eastAsia"/>
                <w:color w:val="000000"/>
                <w:sz w:val="24"/>
                <w:szCs w:val="24"/>
              </w:rPr>
              <w:t>厂商鲜章确认</w:t>
            </w:r>
            <w:proofErr w:type="gramEnd"/>
            <w:r w:rsidRPr="00F752D4">
              <w:rPr>
                <w:rFonts w:ascii="仿宋" w:eastAsia="仿宋" w:hAnsi="仿宋" w:cs="宋体" w:hint="eastAsia"/>
                <w:color w:val="000000"/>
                <w:sz w:val="24"/>
                <w:szCs w:val="24"/>
              </w:rPr>
              <w:t>，以备事后追责；</w:t>
            </w:r>
          </w:p>
        </w:tc>
      </w:tr>
    </w:tbl>
    <w:bookmarkEnd w:id="0"/>
    <w:p w:rsidR="00977750" w:rsidRPr="00A258CD" w:rsidRDefault="00977750" w:rsidP="00977750">
      <w:pPr>
        <w:widowControl/>
        <w:topLinePunct/>
        <w:autoSpaceDE w:val="0"/>
        <w:adjustRightInd w:val="0"/>
        <w:spacing w:line="360" w:lineRule="auto"/>
        <w:jc w:val="left"/>
        <w:rPr>
          <w:rFonts w:ascii="黑体" w:eastAsia="黑体" w:hAnsi="宋体" w:cs="宋体"/>
          <w:sz w:val="28"/>
          <w:szCs w:val="28"/>
        </w:rPr>
      </w:pPr>
      <w:r w:rsidRPr="00A258CD">
        <w:rPr>
          <w:rFonts w:ascii="宋体" w:eastAsia="宋体" w:hAnsi="宋体" w:cs="Times New Roman" w:hint="eastAsia"/>
          <w:b/>
          <w:sz w:val="28"/>
          <w:szCs w:val="28"/>
        </w:rPr>
        <w:t>三、</w:t>
      </w:r>
      <w:r w:rsidR="00A93BBB">
        <w:rPr>
          <w:rFonts w:ascii="黑体" w:eastAsia="黑体" w:hAnsi="宋体" w:cs="宋体" w:hint="eastAsia"/>
          <w:sz w:val="28"/>
          <w:szCs w:val="28"/>
        </w:rPr>
        <w:t>项目</w:t>
      </w:r>
      <w:r w:rsidRPr="00A258CD">
        <w:rPr>
          <w:rFonts w:ascii="黑体" w:eastAsia="黑体" w:hAnsi="宋体" w:cs="宋体" w:hint="eastAsia"/>
          <w:sz w:val="28"/>
          <w:szCs w:val="28"/>
        </w:rPr>
        <w:t>功能及性能</w:t>
      </w:r>
    </w:p>
    <w:tbl>
      <w:tblPr>
        <w:tblW w:w="8540" w:type="dxa"/>
        <w:tblLook w:val="04A0"/>
      </w:tblPr>
      <w:tblGrid>
        <w:gridCol w:w="998"/>
        <w:gridCol w:w="1266"/>
        <w:gridCol w:w="2551"/>
        <w:gridCol w:w="588"/>
        <w:gridCol w:w="588"/>
        <w:gridCol w:w="2549"/>
      </w:tblGrid>
      <w:tr w:rsidR="00BF10F5" w:rsidRPr="00BF10F5" w:rsidTr="00BF10F5">
        <w:trPr>
          <w:trHeight w:val="290"/>
        </w:trPr>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10F5" w:rsidRPr="00BF10F5" w:rsidRDefault="00BF10F5" w:rsidP="00BF10F5">
            <w:pPr>
              <w:widowControl/>
              <w:jc w:val="center"/>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品类</w:t>
            </w:r>
          </w:p>
        </w:tc>
        <w:tc>
          <w:tcPr>
            <w:tcW w:w="1040" w:type="dxa"/>
            <w:tcBorders>
              <w:top w:val="single" w:sz="8" w:space="0" w:color="000000"/>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产品名称</w:t>
            </w:r>
          </w:p>
        </w:tc>
        <w:tc>
          <w:tcPr>
            <w:tcW w:w="2600" w:type="dxa"/>
            <w:tcBorders>
              <w:top w:val="single" w:sz="8" w:space="0" w:color="000000"/>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产品说明</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BF10F5" w:rsidRPr="00BF10F5" w:rsidRDefault="00BF10F5" w:rsidP="00BF10F5">
            <w:pPr>
              <w:widowControl/>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数量</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单位</w:t>
            </w:r>
          </w:p>
        </w:tc>
        <w:tc>
          <w:tcPr>
            <w:tcW w:w="2660" w:type="dxa"/>
            <w:tcBorders>
              <w:top w:val="single" w:sz="8" w:space="0" w:color="000000"/>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b/>
                <w:bCs/>
                <w:color w:val="000000"/>
                <w:kern w:val="0"/>
                <w:szCs w:val="21"/>
              </w:rPr>
            </w:pPr>
            <w:r w:rsidRPr="00BF10F5">
              <w:rPr>
                <w:rFonts w:ascii="仿宋" w:eastAsia="仿宋" w:hAnsi="仿宋" w:cs="宋体" w:hint="eastAsia"/>
                <w:b/>
                <w:bCs/>
                <w:color w:val="000000"/>
                <w:kern w:val="0"/>
                <w:szCs w:val="21"/>
              </w:rPr>
              <w:t>备注</w:t>
            </w:r>
          </w:p>
        </w:tc>
      </w:tr>
      <w:tr w:rsidR="00BF10F5" w:rsidRPr="00BF10F5" w:rsidTr="00BF10F5">
        <w:trPr>
          <w:trHeight w:val="550"/>
        </w:trPr>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模块化机房</w:t>
            </w: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供电单元（UPS）</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40kVAUPS单元</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82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proofErr w:type="gramStart"/>
            <w:r w:rsidRPr="00BF10F5">
              <w:rPr>
                <w:rFonts w:ascii="仿宋" w:eastAsia="仿宋" w:hAnsi="仿宋" w:cs="宋体" w:hint="eastAsia"/>
                <w:color w:val="000000"/>
                <w:kern w:val="0"/>
                <w:szCs w:val="21"/>
              </w:rPr>
              <w:t>备电单元</w:t>
            </w:r>
            <w:proofErr w:type="gramEnd"/>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电池容量应支持为20kW负载提供不少于30min的后备时间;</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F752D4">
        <w:trPr>
          <w:trHeight w:val="831"/>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输入输出配电单元</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配电单元采用19英寸机架式安装设计，具备微模块总输入空开、UPS输入空开、空调空开、UPS输出空开、分路配电空开（不少于16路）、防雷模块和智能电表</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54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机柜单元</w:t>
            </w:r>
          </w:p>
        </w:tc>
        <w:tc>
          <w:tcPr>
            <w:tcW w:w="2600" w:type="dxa"/>
            <w:tcBorders>
              <w:top w:val="nil"/>
              <w:left w:val="nil"/>
              <w:bottom w:val="nil"/>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宽度600mm，高度2000mm，深度≤1400mm</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7</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136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配备两条竖直安装型PDU(每条PDU配备不少于21位IECC320C13插座和不少于3位IECC320C19插座）</w:t>
            </w: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6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r>
      <w:tr w:rsidR="00BF10F5" w:rsidRPr="00BF10F5" w:rsidTr="00BF10F5">
        <w:trPr>
          <w:trHeight w:val="109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精密制冷单元</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最大制冷量≥12kW风量≥2700m3/h宽度600mm，高度2000mm，深度与机柜单元相同</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190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动环管理单元</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动环管理单元所包含的监控采集器应采用B/S架构，内置</w:t>
            </w:r>
            <w:proofErr w:type="spellStart"/>
            <w:r w:rsidRPr="00BF10F5">
              <w:rPr>
                <w:rFonts w:ascii="仿宋" w:eastAsia="仿宋" w:hAnsi="仿宋" w:cs="宋体" w:hint="eastAsia"/>
                <w:color w:val="000000"/>
                <w:kern w:val="0"/>
                <w:szCs w:val="21"/>
              </w:rPr>
              <w:t>WebServer</w:t>
            </w:r>
            <w:proofErr w:type="spellEnd"/>
            <w:r w:rsidRPr="00BF10F5">
              <w:rPr>
                <w:rFonts w:ascii="仿宋" w:eastAsia="仿宋" w:hAnsi="仿宋" w:cs="宋体" w:hint="eastAsia"/>
                <w:color w:val="000000"/>
                <w:kern w:val="0"/>
                <w:szCs w:val="21"/>
              </w:rPr>
              <w:t>功能；应可从公用互联网免费下载微模块厂家发布的iOS或Android版移动监控APP</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55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本地触屏显示单元</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触屏尺寸不小于7英寸</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190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proofErr w:type="gramStart"/>
            <w:r w:rsidRPr="00BF10F5">
              <w:rPr>
                <w:rFonts w:ascii="仿宋" w:eastAsia="仿宋" w:hAnsi="仿宋" w:cs="宋体" w:hint="eastAsia"/>
                <w:color w:val="000000"/>
                <w:kern w:val="0"/>
                <w:szCs w:val="21"/>
              </w:rPr>
              <w:t>气体消防</w:t>
            </w:r>
            <w:proofErr w:type="gramEnd"/>
            <w:r w:rsidRPr="00BF10F5">
              <w:rPr>
                <w:rFonts w:ascii="仿宋" w:eastAsia="仿宋" w:hAnsi="仿宋" w:cs="宋体" w:hint="eastAsia"/>
                <w:color w:val="000000"/>
                <w:kern w:val="0"/>
                <w:szCs w:val="21"/>
              </w:rPr>
              <w:t>单元</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19英寸机架式设计；</w:t>
            </w:r>
            <w:proofErr w:type="gramStart"/>
            <w:r w:rsidRPr="00BF10F5">
              <w:rPr>
                <w:rFonts w:ascii="仿宋" w:eastAsia="仿宋" w:hAnsi="仿宋" w:cs="宋体" w:hint="eastAsia"/>
                <w:color w:val="000000"/>
                <w:kern w:val="0"/>
                <w:szCs w:val="21"/>
              </w:rPr>
              <w:t>采用七氟丙烷</w:t>
            </w:r>
            <w:proofErr w:type="gramEnd"/>
            <w:r w:rsidRPr="00BF10F5">
              <w:rPr>
                <w:rFonts w:ascii="仿宋" w:eastAsia="仿宋" w:hAnsi="仿宋" w:cs="宋体" w:hint="eastAsia"/>
                <w:color w:val="000000"/>
                <w:kern w:val="0"/>
                <w:szCs w:val="21"/>
              </w:rPr>
              <w:t>（FM200），其剂量和喷射时间应满足微模块内部空间气体灭火设计浓度和浸渍时间的要求；具备公安部消防产品认证</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 xml:space="preserve">　</w:t>
            </w:r>
          </w:p>
        </w:tc>
      </w:tr>
      <w:tr w:rsidR="00BF10F5" w:rsidRPr="00BF10F5" w:rsidTr="00BF10F5">
        <w:trPr>
          <w:trHeight w:val="312"/>
        </w:trPr>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超融合一体机硬件</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超融合一体机</w:t>
            </w:r>
          </w:p>
        </w:tc>
        <w:tc>
          <w:tcPr>
            <w:tcW w:w="2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CPU≥Gold5120*4；内存≥256G;24*SATA/SAS</w:t>
            </w:r>
            <w:proofErr w:type="gramStart"/>
            <w:r w:rsidRPr="00BF10F5">
              <w:rPr>
                <w:rFonts w:ascii="仿宋" w:eastAsia="仿宋" w:hAnsi="仿宋" w:cs="宋体" w:hint="eastAsia"/>
                <w:color w:val="000000"/>
                <w:kern w:val="0"/>
                <w:szCs w:val="21"/>
              </w:rPr>
              <w:t>盘位</w:t>
            </w:r>
            <w:proofErr w:type="gramEnd"/>
            <w:r w:rsidRPr="00BF10F5">
              <w:rPr>
                <w:rFonts w:ascii="仿宋" w:eastAsia="仿宋" w:hAnsi="仿宋" w:cs="宋体" w:hint="eastAsia"/>
                <w:color w:val="000000"/>
                <w:kern w:val="0"/>
                <w:szCs w:val="21"/>
              </w:rPr>
              <w:t>;2*128G系统盘;6个</w:t>
            </w:r>
            <w:proofErr w:type="gramStart"/>
            <w:r w:rsidRPr="00BF10F5">
              <w:rPr>
                <w:rFonts w:ascii="仿宋" w:eastAsia="仿宋" w:hAnsi="仿宋" w:cs="宋体" w:hint="eastAsia"/>
                <w:color w:val="000000"/>
                <w:kern w:val="0"/>
                <w:szCs w:val="21"/>
              </w:rPr>
              <w:t>千兆电口</w:t>
            </w:r>
            <w:proofErr w:type="gramEnd"/>
            <w:r w:rsidRPr="00BF10F5">
              <w:rPr>
                <w:rFonts w:ascii="仿宋" w:eastAsia="仿宋" w:hAnsi="仿宋" w:cs="宋体" w:hint="eastAsia"/>
                <w:color w:val="000000"/>
                <w:kern w:val="0"/>
                <w:szCs w:val="21"/>
              </w:rPr>
              <w:t>，4个</w:t>
            </w:r>
            <w:proofErr w:type="gramStart"/>
            <w:r w:rsidRPr="00BF10F5">
              <w:rPr>
                <w:rFonts w:ascii="仿宋" w:eastAsia="仿宋" w:hAnsi="仿宋" w:cs="宋体" w:hint="eastAsia"/>
                <w:color w:val="000000"/>
                <w:kern w:val="0"/>
                <w:szCs w:val="21"/>
              </w:rPr>
              <w:t>万兆光口</w:t>
            </w:r>
            <w:proofErr w:type="gramEnd"/>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5</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台</w:t>
            </w:r>
          </w:p>
        </w:tc>
        <w:tc>
          <w:tcPr>
            <w:tcW w:w="26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此次项目配置5台4路服务器组建云平台资源池。后续按需扩容</w:t>
            </w:r>
          </w:p>
        </w:tc>
      </w:tr>
      <w:tr w:rsidR="00BF10F5" w:rsidRPr="00BF10F5" w:rsidTr="00BF10F5">
        <w:trPr>
          <w:trHeight w:val="312"/>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6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r>
      <w:tr w:rsidR="00BF10F5" w:rsidRPr="00BF10F5" w:rsidTr="00BF10F5">
        <w:trPr>
          <w:trHeight w:val="136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机械硬盘4T</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企业级机械硬盘,SATA接口，3.5寸</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30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每台服务器配备6块4T机械盘，云平台内数据采用双副本机制提供可靠分布式存储，该平台可用存储空间为60TB</w:t>
            </w:r>
          </w:p>
        </w:tc>
      </w:tr>
      <w:tr w:rsidR="00BF10F5" w:rsidRPr="00BF10F5" w:rsidTr="00BF10F5">
        <w:trPr>
          <w:trHeight w:val="82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固态硬盘-960G-SSD</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SATA接口，2.5寸</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10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每台服务器配备2块960G-SSD缓存盘，用于提高平台IO</w:t>
            </w:r>
          </w:p>
        </w:tc>
      </w:tr>
      <w:tr w:rsidR="00BF10F5" w:rsidRPr="00BF10F5" w:rsidTr="00BF10F5">
        <w:trPr>
          <w:trHeight w:val="109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万兆多模-850-300m-双</w:t>
            </w:r>
            <w:proofErr w:type="gramStart"/>
            <w:r w:rsidRPr="00BF10F5">
              <w:rPr>
                <w:rFonts w:ascii="仿宋" w:eastAsia="仿宋" w:hAnsi="仿宋" w:cs="宋体" w:hint="eastAsia"/>
                <w:color w:val="000000"/>
                <w:kern w:val="0"/>
                <w:szCs w:val="21"/>
              </w:rPr>
              <w:t>纤</w:t>
            </w:r>
            <w:proofErr w:type="gramEnd"/>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SFP+万兆</w:t>
            </w:r>
            <w:proofErr w:type="gramStart"/>
            <w:r w:rsidRPr="00BF10F5">
              <w:rPr>
                <w:rFonts w:ascii="仿宋" w:eastAsia="仿宋" w:hAnsi="仿宋" w:cs="宋体" w:hint="eastAsia"/>
                <w:color w:val="000000"/>
                <w:kern w:val="0"/>
                <w:szCs w:val="21"/>
              </w:rPr>
              <w:t>多模光模块</w:t>
            </w:r>
            <w:proofErr w:type="gramEnd"/>
            <w:r w:rsidRPr="00BF10F5">
              <w:rPr>
                <w:rFonts w:ascii="仿宋" w:eastAsia="仿宋" w:hAnsi="仿宋" w:cs="宋体" w:hint="eastAsia"/>
                <w:color w:val="000000"/>
                <w:kern w:val="0"/>
                <w:szCs w:val="21"/>
              </w:rPr>
              <w:t>，速率：10Gb/s，波长：850nm，传输距离：0.3km，双LC接口</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proofErr w:type="gramStart"/>
            <w:r w:rsidRPr="00BF10F5">
              <w:rPr>
                <w:rFonts w:ascii="仿宋" w:eastAsia="仿宋" w:hAnsi="仿宋" w:cs="宋体" w:hint="eastAsia"/>
                <w:color w:val="000000"/>
                <w:kern w:val="0"/>
                <w:szCs w:val="21"/>
              </w:rPr>
              <w:t>个</w:t>
            </w:r>
            <w:proofErr w:type="gramEnd"/>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每台服务器配备4个万兆SFP+模块，用于连接万兆交换机。</w:t>
            </w:r>
          </w:p>
        </w:tc>
      </w:tr>
      <w:tr w:rsidR="00BF10F5" w:rsidRPr="00BF10F5" w:rsidTr="00BF10F5">
        <w:trPr>
          <w:trHeight w:val="1090"/>
        </w:trPr>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超融合底层交换系统</w:t>
            </w: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万兆交换机</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提供24口万兆SFP+接口</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4</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台</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支持虚拟化堆叠；下行10G接口连接5台超融合一体机，上行10G接口连接核心交换机</w:t>
            </w:r>
          </w:p>
        </w:tc>
      </w:tr>
      <w:tr w:rsidR="00BF10F5" w:rsidRPr="00BF10F5" w:rsidTr="00BF10F5">
        <w:trPr>
          <w:trHeight w:val="28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万兆多模-850-300m-双</w:t>
            </w:r>
            <w:proofErr w:type="gramStart"/>
            <w:r w:rsidRPr="00BF10F5">
              <w:rPr>
                <w:rFonts w:ascii="仿宋" w:eastAsia="仿宋" w:hAnsi="仿宋" w:cs="宋体" w:hint="eastAsia"/>
                <w:color w:val="000000"/>
                <w:kern w:val="0"/>
                <w:szCs w:val="21"/>
              </w:rPr>
              <w:t>纤</w:t>
            </w:r>
            <w:proofErr w:type="gramEnd"/>
          </w:p>
        </w:tc>
        <w:tc>
          <w:tcPr>
            <w:tcW w:w="2600" w:type="dxa"/>
            <w:tcBorders>
              <w:top w:val="nil"/>
              <w:left w:val="nil"/>
              <w:bottom w:val="nil"/>
              <w:right w:val="single" w:sz="8" w:space="0" w:color="000000"/>
            </w:tcBorders>
            <w:shd w:val="clear" w:color="auto" w:fill="auto"/>
            <w:vAlign w:val="center"/>
            <w:hideMark/>
          </w:tcPr>
          <w:p w:rsidR="00BF10F5" w:rsidRPr="00BF10F5" w:rsidRDefault="00BF10F5" w:rsidP="00BF10F5">
            <w:pPr>
              <w:widowControl/>
              <w:jc w:val="center"/>
              <w:rPr>
                <w:rFonts w:ascii="等线" w:eastAsia="等线" w:hAnsi="等线" w:cs="宋体"/>
                <w:color w:val="000000"/>
                <w:kern w:val="0"/>
                <w:sz w:val="22"/>
              </w:rPr>
            </w:pPr>
            <w:r w:rsidRPr="00BF10F5">
              <w:rPr>
                <w:rFonts w:ascii="等线" w:eastAsia="等线" w:hAnsi="等线" w:cs="宋体" w:hint="eastAsia"/>
                <w:color w:val="000000"/>
                <w:kern w:val="0"/>
                <w:sz w:val="22"/>
              </w:rPr>
              <w:t xml:space="preserve">　</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36</w:t>
            </w:r>
          </w:p>
        </w:tc>
        <w:tc>
          <w:tcPr>
            <w:tcW w:w="6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proofErr w:type="gramStart"/>
            <w:r w:rsidRPr="00BF10F5">
              <w:rPr>
                <w:rFonts w:ascii="仿宋" w:eastAsia="仿宋" w:hAnsi="仿宋" w:cs="宋体" w:hint="eastAsia"/>
                <w:color w:val="000000"/>
                <w:kern w:val="0"/>
                <w:szCs w:val="21"/>
              </w:rPr>
              <w:t>个</w:t>
            </w:r>
            <w:proofErr w:type="gramEnd"/>
          </w:p>
        </w:tc>
        <w:tc>
          <w:tcPr>
            <w:tcW w:w="26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用于交换机下行接口连接服务器，上行连接核心交换机，以及交换机之间级联</w:t>
            </w:r>
          </w:p>
        </w:tc>
      </w:tr>
      <w:tr w:rsidR="00BF10F5" w:rsidRPr="00BF10F5" w:rsidTr="00BF10F5">
        <w:trPr>
          <w:trHeight w:val="109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SFP+</w:t>
            </w:r>
            <w:proofErr w:type="gramStart"/>
            <w:r w:rsidRPr="00BF10F5">
              <w:rPr>
                <w:rFonts w:ascii="仿宋" w:eastAsia="仿宋" w:hAnsi="仿宋" w:cs="宋体" w:hint="eastAsia"/>
                <w:color w:val="000000"/>
                <w:kern w:val="0"/>
                <w:szCs w:val="21"/>
              </w:rPr>
              <w:t>多模光模块</w:t>
            </w:r>
            <w:proofErr w:type="gramEnd"/>
            <w:r w:rsidRPr="00BF10F5">
              <w:rPr>
                <w:rFonts w:ascii="仿宋" w:eastAsia="仿宋" w:hAnsi="仿宋" w:cs="宋体" w:hint="eastAsia"/>
                <w:color w:val="000000"/>
                <w:kern w:val="0"/>
                <w:szCs w:val="21"/>
              </w:rPr>
              <w:t>，速率：10Gb/s，波长：850nm，传输距离：0.3km，双LC接口</w:t>
            </w: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266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r>
      <w:tr w:rsidR="00BF10F5" w:rsidRPr="00BF10F5" w:rsidTr="00BF10F5">
        <w:trPr>
          <w:trHeight w:val="55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千兆交换机</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提供24个千兆RJ45接口</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台</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用于连接超融合平台管理网</w:t>
            </w:r>
          </w:p>
        </w:tc>
      </w:tr>
      <w:tr w:rsidR="00BF10F5" w:rsidRPr="00BF10F5" w:rsidTr="00BF10F5">
        <w:trPr>
          <w:trHeight w:val="1360"/>
        </w:trPr>
        <w:tc>
          <w:tcPr>
            <w:tcW w:w="10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超融合软件系统</w:t>
            </w: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proofErr w:type="gramStart"/>
            <w:r w:rsidRPr="00BF10F5">
              <w:rPr>
                <w:rFonts w:ascii="仿宋" w:eastAsia="仿宋" w:hAnsi="仿宋" w:cs="宋体" w:hint="eastAsia"/>
                <w:color w:val="000000"/>
                <w:kern w:val="0"/>
                <w:szCs w:val="21"/>
              </w:rPr>
              <w:t>云计算</w:t>
            </w:r>
            <w:proofErr w:type="gramEnd"/>
            <w:r w:rsidRPr="00BF10F5">
              <w:rPr>
                <w:rFonts w:ascii="仿宋" w:eastAsia="仿宋" w:hAnsi="仿宋" w:cs="宋体" w:hint="eastAsia"/>
                <w:color w:val="000000"/>
                <w:kern w:val="0"/>
                <w:szCs w:val="21"/>
              </w:rPr>
              <w:t>管理软件</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含虚拟资源池统一管理，虚拟机备份与恢复，应用监控，数据库服务，工单审批，多租户管理，</w:t>
            </w:r>
            <w:proofErr w:type="gramStart"/>
            <w:r w:rsidRPr="00BF10F5">
              <w:rPr>
                <w:rFonts w:ascii="仿宋" w:eastAsia="仿宋" w:hAnsi="仿宋" w:cs="宋体" w:hint="eastAsia"/>
                <w:color w:val="000000"/>
                <w:kern w:val="0"/>
                <w:szCs w:val="21"/>
              </w:rPr>
              <w:t>自服务页面等云</w:t>
            </w:r>
            <w:proofErr w:type="gramEnd"/>
            <w:r w:rsidRPr="00BF10F5">
              <w:rPr>
                <w:rFonts w:ascii="仿宋" w:eastAsia="仿宋" w:hAnsi="仿宋" w:cs="宋体" w:hint="eastAsia"/>
                <w:color w:val="000000"/>
                <w:kern w:val="0"/>
                <w:szCs w:val="21"/>
              </w:rPr>
              <w:t>功能。</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按照物理CPU计数</w:t>
            </w:r>
          </w:p>
        </w:tc>
      </w:tr>
      <w:tr w:rsidR="00BF10F5" w:rsidRPr="00BF10F5" w:rsidTr="00BF10F5">
        <w:trPr>
          <w:trHeight w:val="82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计算服务器虚拟化软件</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服务器虚拟化，HA高可用，虚拟机优先级控制，产品特性功能更新模块。</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按照物理CPU计数</w:t>
            </w:r>
          </w:p>
        </w:tc>
      </w:tr>
      <w:tr w:rsidR="00BF10F5" w:rsidRPr="00BF10F5" w:rsidTr="00BF10F5">
        <w:trPr>
          <w:trHeight w:val="109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网络虚拟化软件</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网络虚拟化，所画即所得的快速网络部署，虚拟交换机，虚拟路由器，软件平台升级更新。</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按照物理CPU计数</w:t>
            </w:r>
          </w:p>
        </w:tc>
      </w:tr>
      <w:tr w:rsidR="00BF10F5" w:rsidRPr="00BF10F5" w:rsidTr="00BF10F5">
        <w:trPr>
          <w:trHeight w:val="1360"/>
        </w:trPr>
        <w:tc>
          <w:tcPr>
            <w:tcW w:w="1040" w:type="dxa"/>
            <w:vMerge/>
            <w:tcBorders>
              <w:top w:val="nil"/>
              <w:left w:val="single" w:sz="8" w:space="0" w:color="000000"/>
              <w:bottom w:val="single" w:sz="8" w:space="0" w:color="000000"/>
              <w:right w:val="single" w:sz="8" w:space="0" w:color="000000"/>
            </w:tcBorders>
            <w:vAlign w:val="center"/>
            <w:hideMark/>
          </w:tcPr>
          <w:p w:rsidR="00BF10F5" w:rsidRPr="00BF10F5" w:rsidRDefault="00BF10F5" w:rsidP="00BF10F5">
            <w:pPr>
              <w:widowControl/>
              <w:jc w:val="left"/>
              <w:rPr>
                <w:rFonts w:ascii="仿宋" w:eastAsia="仿宋" w:hAnsi="仿宋" w:cs="宋体"/>
                <w:color w:val="000000"/>
                <w:kern w:val="0"/>
                <w:szCs w:val="21"/>
              </w:rPr>
            </w:pPr>
          </w:p>
        </w:tc>
        <w:tc>
          <w:tcPr>
            <w:tcW w:w="104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虚拟存储软件</w:t>
            </w:r>
          </w:p>
        </w:tc>
        <w:tc>
          <w:tcPr>
            <w:tcW w:w="2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存储虚拟化，存储多副本，高性能读写缓存，存储弹性扩展，数据故障切换，磁盘故障告警，软件平台升级更新。</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20</w:t>
            </w:r>
          </w:p>
        </w:tc>
        <w:tc>
          <w:tcPr>
            <w:tcW w:w="60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套</w:t>
            </w:r>
          </w:p>
        </w:tc>
        <w:tc>
          <w:tcPr>
            <w:tcW w:w="2660" w:type="dxa"/>
            <w:tcBorders>
              <w:top w:val="nil"/>
              <w:left w:val="nil"/>
              <w:bottom w:val="single" w:sz="8" w:space="0" w:color="000000"/>
              <w:right w:val="single" w:sz="8" w:space="0" w:color="000000"/>
            </w:tcBorders>
            <w:shd w:val="clear" w:color="auto" w:fill="auto"/>
            <w:vAlign w:val="center"/>
            <w:hideMark/>
          </w:tcPr>
          <w:p w:rsidR="00BF10F5" w:rsidRPr="00BF10F5" w:rsidRDefault="00BF10F5" w:rsidP="00BF10F5">
            <w:pPr>
              <w:widowControl/>
              <w:jc w:val="center"/>
              <w:rPr>
                <w:rFonts w:ascii="仿宋" w:eastAsia="仿宋" w:hAnsi="仿宋" w:cs="宋体"/>
                <w:color w:val="000000"/>
                <w:kern w:val="0"/>
                <w:szCs w:val="21"/>
              </w:rPr>
            </w:pPr>
            <w:r w:rsidRPr="00BF10F5">
              <w:rPr>
                <w:rFonts w:ascii="仿宋" w:eastAsia="仿宋" w:hAnsi="仿宋" w:cs="宋体" w:hint="eastAsia"/>
                <w:color w:val="000000"/>
                <w:kern w:val="0"/>
                <w:szCs w:val="21"/>
              </w:rPr>
              <w:t>按照物理CPU计数</w:t>
            </w:r>
          </w:p>
        </w:tc>
      </w:tr>
    </w:tbl>
    <w:p w:rsidR="008D1D88" w:rsidRPr="0055353C" w:rsidRDefault="003266BC">
      <w:pPr>
        <w:rPr>
          <w:rFonts w:ascii="宋体" w:eastAsia="宋体" w:hAnsi="宋体" w:cs="宋体"/>
          <w:color w:val="000000"/>
          <w:kern w:val="0"/>
          <w:sz w:val="18"/>
          <w:szCs w:val="18"/>
        </w:rPr>
      </w:pPr>
      <w:r w:rsidRPr="0055353C">
        <w:rPr>
          <w:rFonts w:ascii="宋体" w:eastAsia="宋体" w:hAnsi="宋体" w:cs="宋体"/>
          <w:color w:val="000000"/>
          <w:kern w:val="0"/>
          <w:sz w:val="18"/>
          <w:szCs w:val="18"/>
        </w:rPr>
        <w:t>备注</w:t>
      </w:r>
      <w:r w:rsidRPr="0055353C">
        <w:rPr>
          <w:rFonts w:ascii="宋体" w:eastAsia="宋体" w:hAnsi="宋体" w:cs="宋体" w:hint="eastAsia"/>
          <w:color w:val="000000"/>
          <w:kern w:val="0"/>
          <w:sz w:val="18"/>
          <w:szCs w:val="18"/>
        </w:rPr>
        <w:t>：</w:t>
      </w:r>
      <w:r w:rsidR="001F1277" w:rsidRPr="0055353C">
        <w:rPr>
          <w:rFonts w:ascii="宋体" w:eastAsia="宋体" w:hAnsi="宋体" w:cs="宋体" w:hint="eastAsia"/>
          <w:color w:val="000000"/>
          <w:kern w:val="0"/>
          <w:sz w:val="18"/>
          <w:szCs w:val="18"/>
        </w:rPr>
        <w:t>所有产品</w:t>
      </w:r>
      <w:r w:rsidRPr="00633EEA">
        <w:rPr>
          <w:rFonts w:ascii="宋体" w:eastAsia="宋体" w:hAnsi="宋体" w:cs="宋体" w:hint="eastAsia"/>
          <w:color w:val="000000"/>
          <w:kern w:val="0"/>
          <w:sz w:val="18"/>
          <w:szCs w:val="18"/>
        </w:rPr>
        <w:t>提供厂商</w:t>
      </w:r>
      <w:r w:rsidR="00BA1329">
        <w:rPr>
          <w:rFonts w:ascii="宋体" w:eastAsia="宋体" w:hAnsi="宋体" w:cs="宋体" w:hint="eastAsia"/>
          <w:color w:val="000000"/>
          <w:kern w:val="0"/>
          <w:sz w:val="18"/>
          <w:szCs w:val="18"/>
        </w:rPr>
        <w:t>出具的参数确认函，盖</w:t>
      </w:r>
      <w:proofErr w:type="gramStart"/>
      <w:r w:rsidR="00887750">
        <w:rPr>
          <w:rFonts w:ascii="宋体" w:eastAsia="宋体" w:hAnsi="宋体" w:cs="宋体" w:hint="eastAsia"/>
          <w:color w:val="000000"/>
          <w:kern w:val="0"/>
          <w:sz w:val="18"/>
          <w:szCs w:val="18"/>
        </w:rPr>
        <w:t>厂商</w:t>
      </w:r>
      <w:r w:rsidRPr="00633EEA">
        <w:rPr>
          <w:rFonts w:ascii="宋体" w:eastAsia="宋体" w:hAnsi="宋体" w:cs="宋体" w:hint="eastAsia"/>
          <w:color w:val="000000"/>
          <w:kern w:val="0"/>
          <w:sz w:val="18"/>
          <w:szCs w:val="18"/>
        </w:rPr>
        <w:t>鲜章</w:t>
      </w:r>
      <w:r>
        <w:rPr>
          <w:rFonts w:ascii="宋体" w:eastAsia="宋体" w:hAnsi="宋体" w:cs="宋体" w:hint="eastAsia"/>
          <w:color w:val="000000"/>
          <w:kern w:val="0"/>
          <w:sz w:val="18"/>
          <w:szCs w:val="18"/>
        </w:rPr>
        <w:t>确认</w:t>
      </w:r>
      <w:proofErr w:type="gramEnd"/>
      <w:r w:rsidR="00887750">
        <w:rPr>
          <w:rFonts w:ascii="宋体" w:eastAsia="宋体" w:hAnsi="宋体" w:cs="宋体" w:hint="eastAsia"/>
          <w:color w:val="000000"/>
          <w:kern w:val="0"/>
          <w:sz w:val="18"/>
          <w:szCs w:val="18"/>
        </w:rPr>
        <w:t>，以备事后追责</w:t>
      </w:r>
      <w:r w:rsidRPr="00633EEA">
        <w:rPr>
          <w:rFonts w:ascii="宋体" w:eastAsia="宋体" w:hAnsi="宋体" w:cs="宋体" w:hint="eastAsia"/>
          <w:color w:val="000000"/>
          <w:kern w:val="0"/>
          <w:sz w:val="18"/>
          <w:szCs w:val="18"/>
        </w:rPr>
        <w:t>；</w:t>
      </w:r>
    </w:p>
    <w:p w:rsidR="00977750" w:rsidRPr="0055353C" w:rsidRDefault="00977750">
      <w:pPr>
        <w:rPr>
          <w:rFonts w:ascii="宋体" w:eastAsia="宋体" w:hAnsi="宋体" w:cs="宋体"/>
          <w:color w:val="000000"/>
          <w:kern w:val="0"/>
          <w:sz w:val="18"/>
          <w:szCs w:val="18"/>
        </w:rPr>
      </w:pPr>
      <w:r w:rsidRPr="0055353C">
        <w:rPr>
          <w:rFonts w:ascii="宋体" w:eastAsia="宋体" w:hAnsi="宋体" w:cs="宋体" w:hint="eastAsia"/>
          <w:color w:val="000000"/>
          <w:kern w:val="0"/>
          <w:sz w:val="18"/>
          <w:szCs w:val="18"/>
        </w:rPr>
        <w:t>加“*”标记</w:t>
      </w:r>
      <w:r w:rsidR="00DB305B">
        <w:rPr>
          <w:rFonts w:ascii="宋体" w:eastAsia="宋体" w:hAnsi="宋体" w:cs="宋体" w:hint="eastAsia"/>
          <w:color w:val="000000"/>
          <w:kern w:val="0"/>
          <w:sz w:val="18"/>
          <w:szCs w:val="18"/>
        </w:rPr>
        <w:t>为</w:t>
      </w:r>
      <w:r w:rsidR="00DB305B" w:rsidRPr="0055353C">
        <w:rPr>
          <w:rFonts w:ascii="宋体" w:eastAsia="宋体" w:hAnsi="宋体" w:cs="宋体" w:hint="eastAsia"/>
          <w:color w:val="000000"/>
          <w:kern w:val="0"/>
          <w:sz w:val="18"/>
          <w:szCs w:val="18"/>
        </w:rPr>
        <w:t>关键参数</w:t>
      </w:r>
    </w:p>
    <w:sectPr w:rsidR="00977750" w:rsidRPr="0055353C" w:rsidSect="008D1D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40F" w:rsidRDefault="006C040F" w:rsidP="006F753D">
      <w:r>
        <w:separator/>
      </w:r>
    </w:p>
  </w:endnote>
  <w:endnote w:type="continuationSeparator" w:id="0">
    <w:p w:rsidR="006C040F" w:rsidRDefault="006C040F" w:rsidP="006F75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40F" w:rsidRDefault="006C040F" w:rsidP="006F753D">
      <w:r>
        <w:separator/>
      </w:r>
    </w:p>
  </w:footnote>
  <w:footnote w:type="continuationSeparator" w:id="0">
    <w:p w:rsidR="006C040F" w:rsidRDefault="006C040F" w:rsidP="006F7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E30F19"/>
    <w:multiLevelType w:val="multilevel"/>
    <w:tmpl w:val="05E30F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2FD25E9"/>
    <w:multiLevelType w:val="multilevel"/>
    <w:tmpl w:val="12FD25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sz w:val="10"/>
        <w:szCs w:val="1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06A4D7B"/>
    <w:multiLevelType w:val="hybridMultilevel"/>
    <w:tmpl w:val="4BD216FE"/>
    <w:lvl w:ilvl="0" w:tplc="DF3A4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342FE4"/>
    <w:multiLevelType w:val="hybridMultilevel"/>
    <w:tmpl w:val="09D0AD58"/>
    <w:lvl w:ilvl="0" w:tplc="2A7AD6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B726E4"/>
    <w:multiLevelType w:val="multilevel"/>
    <w:tmpl w:val="42B726E4"/>
    <w:lvl w:ilvl="0">
      <w:start w:val="1"/>
      <w:numFmt w:val="bullet"/>
      <w:lvlText w:val=""/>
      <w:lvlJc w:val="left"/>
      <w:pPr>
        <w:ind w:left="840" w:hanging="420"/>
      </w:pPr>
      <w:rPr>
        <w:rFonts w:ascii="Wingdings" w:hAnsi="Wingdings" w:hint="default"/>
        <w:sz w:val="10"/>
        <w:szCs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61874331"/>
    <w:multiLevelType w:val="multilevel"/>
    <w:tmpl w:val="618743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A66298B"/>
    <w:multiLevelType w:val="multilevel"/>
    <w:tmpl w:val="6A66298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750"/>
    <w:rsid w:val="00076071"/>
    <w:rsid w:val="00086CF0"/>
    <w:rsid w:val="000F134F"/>
    <w:rsid w:val="0012104C"/>
    <w:rsid w:val="001F1277"/>
    <w:rsid w:val="00221110"/>
    <w:rsid w:val="0025131F"/>
    <w:rsid w:val="002D5E13"/>
    <w:rsid w:val="003266BC"/>
    <w:rsid w:val="003E4B6B"/>
    <w:rsid w:val="00475D97"/>
    <w:rsid w:val="00476DB5"/>
    <w:rsid w:val="00492402"/>
    <w:rsid w:val="004A6C71"/>
    <w:rsid w:val="0055353C"/>
    <w:rsid w:val="0057546D"/>
    <w:rsid w:val="00633EEA"/>
    <w:rsid w:val="00685317"/>
    <w:rsid w:val="00697511"/>
    <w:rsid w:val="006C040F"/>
    <w:rsid w:val="006F0817"/>
    <w:rsid w:val="006F753D"/>
    <w:rsid w:val="007214AC"/>
    <w:rsid w:val="00743231"/>
    <w:rsid w:val="007A4ED6"/>
    <w:rsid w:val="007D3752"/>
    <w:rsid w:val="008801DC"/>
    <w:rsid w:val="00887750"/>
    <w:rsid w:val="008D1D88"/>
    <w:rsid w:val="00925211"/>
    <w:rsid w:val="009663F6"/>
    <w:rsid w:val="00977750"/>
    <w:rsid w:val="009D0298"/>
    <w:rsid w:val="00A82B65"/>
    <w:rsid w:val="00A93BBB"/>
    <w:rsid w:val="00AF1AE1"/>
    <w:rsid w:val="00B35946"/>
    <w:rsid w:val="00B80027"/>
    <w:rsid w:val="00BA1329"/>
    <w:rsid w:val="00BC0E57"/>
    <w:rsid w:val="00BF10F5"/>
    <w:rsid w:val="00BF6303"/>
    <w:rsid w:val="00D93961"/>
    <w:rsid w:val="00DB305B"/>
    <w:rsid w:val="00DF42B2"/>
    <w:rsid w:val="00E420DF"/>
    <w:rsid w:val="00E4420F"/>
    <w:rsid w:val="00E676B1"/>
    <w:rsid w:val="00E860D3"/>
    <w:rsid w:val="00F00380"/>
    <w:rsid w:val="00F752D4"/>
    <w:rsid w:val="00FC4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39"/>
    <w:qFormat/>
    <w:rsid w:val="00977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0"/>
    <w:basedOn w:val="a1"/>
    <w:next w:val="a3"/>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F75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753D"/>
    <w:rPr>
      <w:sz w:val="18"/>
      <w:szCs w:val="18"/>
    </w:rPr>
  </w:style>
  <w:style w:type="paragraph" w:styleId="a5">
    <w:name w:val="footer"/>
    <w:basedOn w:val="a"/>
    <w:link w:val="Char0"/>
    <w:uiPriority w:val="99"/>
    <w:unhideWhenUsed/>
    <w:rsid w:val="006F753D"/>
    <w:pPr>
      <w:tabs>
        <w:tab w:val="center" w:pos="4153"/>
        <w:tab w:val="right" w:pos="8306"/>
      </w:tabs>
      <w:snapToGrid w:val="0"/>
      <w:jc w:val="left"/>
    </w:pPr>
    <w:rPr>
      <w:sz w:val="18"/>
      <w:szCs w:val="18"/>
    </w:rPr>
  </w:style>
  <w:style w:type="character" w:customStyle="1" w:styleId="Char0">
    <w:name w:val="页脚 Char"/>
    <w:basedOn w:val="a0"/>
    <w:link w:val="a5"/>
    <w:uiPriority w:val="99"/>
    <w:rsid w:val="006F753D"/>
    <w:rPr>
      <w:sz w:val="18"/>
      <w:szCs w:val="18"/>
    </w:rPr>
  </w:style>
  <w:style w:type="paragraph" w:styleId="a6">
    <w:name w:val="List Paragraph"/>
    <w:basedOn w:val="a"/>
    <w:uiPriority w:val="34"/>
    <w:qFormat/>
    <w:rsid w:val="0057546D"/>
    <w:pPr>
      <w:ind w:firstLineChars="200" w:firstLine="420"/>
    </w:pPr>
  </w:style>
  <w:style w:type="table" w:customStyle="1" w:styleId="1">
    <w:name w:val="网格型1"/>
    <w:basedOn w:val="a1"/>
    <w:next w:val="a3"/>
    <w:uiPriority w:val="39"/>
    <w:qFormat/>
    <w:rsid w:val="0057546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633EEA"/>
    <w:rPr>
      <w:color w:val="0563C1"/>
      <w:u w:val="single"/>
    </w:rPr>
  </w:style>
  <w:style w:type="character" w:styleId="a8">
    <w:name w:val="FollowedHyperlink"/>
    <w:basedOn w:val="a0"/>
    <w:uiPriority w:val="99"/>
    <w:semiHidden/>
    <w:unhideWhenUsed/>
    <w:rsid w:val="00633EEA"/>
    <w:rPr>
      <w:color w:val="954F72"/>
      <w:u w:val="single"/>
    </w:rPr>
  </w:style>
  <w:style w:type="paragraph" w:customStyle="1" w:styleId="msonormal0">
    <w:name w:val="msonormal"/>
    <w:basedOn w:val="a"/>
    <w:rsid w:val="00633E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33EEA"/>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633E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4">
    <w:name w:val="xl64"/>
    <w:basedOn w:val="a"/>
    <w:rsid w:val="00633E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5">
    <w:name w:val="xl65"/>
    <w:basedOn w:val="a"/>
    <w:rsid w:val="00633EE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rsid w:val="00633EE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633EE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8">
    <w:name w:val="xl68"/>
    <w:basedOn w:val="a"/>
    <w:rsid w:val="00633EEA"/>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xl69">
    <w:name w:val="xl69"/>
    <w:basedOn w:val="a"/>
    <w:rsid w:val="00633EEA"/>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xl70">
    <w:name w:val="xl70"/>
    <w:basedOn w:val="a"/>
    <w:rsid w:val="00633EEA"/>
    <w:pPr>
      <w:widowControl/>
      <w:pBdr>
        <w:left w:val="single" w:sz="4" w:space="0" w:color="auto"/>
        <w:right w:val="single" w:sz="4" w:space="0" w:color="auto"/>
      </w:pBdr>
      <w:spacing w:before="100" w:beforeAutospacing="1" w:after="100" w:afterAutospacing="1"/>
    </w:pPr>
    <w:rPr>
      <w:rFonts w:ascii="宋体" w:eastAsia="宋体" w:hAnsi="宋体" w:cs="宋体"/>
      <w:kern w:val="0"/>
      <w:sz w:val="18"/>
      <w:szCs w:val="18"/>
    </w:rPr>
  </w:style>
  <w:style w:type="paragraph" w:customStyle="1" w:styleId="xl71">
    <w:name w:val="xl71"/>
    <w:basedOn w:val="a"/>
    <w:rsid w:val="00633EE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2">
    <w:name w:val="xl72"/>
    <w:basedOn w:val="a"/>
    <w:rsid w:val="007D375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3">
    <w:name w:val="xl73"/>
    <w:basedOn w:val="a"/>
    <w:rsid w:val="007D375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4">
    <w:name w:val="xl74"/>
    <w:basedOn w:val="a"/>
    <w:rsid w:val="007D375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5">
    <w:name w:val="xl75"/>
    <w:basedOn w:val="a"/>
    <w:rsid w:val="007D37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19480391">
      <w:bodyDiv w:val="1"/>
      <w:marLeft w:val="0"/>
      <w:marRight w:val="0"/>
      <w:marTop w:val="0"/>
      <w:marBottom w:val="0"/>
      <w:divBdr>
        <w:top w:val="none" w:sz="0" w:space="0" w:color="auto"/>
        <w:left w:val="none" w:sz="0" w:space="0" w:color="auto"/>
        <w:bottom w:val="none" w:sz="0" w:space="0" w:color="auto"/>
        <w:right w:val="none" w:sz="0" w:space="0" w:color="auto"/>
      </w:divBdr>
    </w:div>
    <w:div w:id="178199095">
      <w:bodyDiv w:val="1"/>
      <w:marLeft w:val="0"/>
      <w:marRight w:val="0"/>
      <w:marTop w:val="0"/>
      <w:marBottom w:val="0"/>
      <w:divBdr>
        <w:top w:val="none" w:sz="0" w:space="0" w:color="auto"/>
        <w:left w:val="none" w:sz="0" w:space="0" w:color="auto"/>
        <w:bottom w:val="none" w:sz="0" w:space="0" w:color="auto"/>
        <w:right w:val="none" w:sz="0" w:space="0" w:color="auto"/>
      </w:divBdr>
    </w:div>
    <w:div w:id="439107983">
      <w:bodyDiv w:val="1"/>
      <w:marLeft w:val="0"/>
      <w:marRight w:val="0"/>
      <w:marTop w:val="0"/>
      <w:marBottom w:val="0"/>
      <w:divBdr>
        <w:top w:val="none" w:sz="0" w:space="0" w:color="auto"/>
        <w:left w:val="none" w:sz="0" w:space="0" w:color="auto"/>
        <w:bottom w:val="none" w:sz="0" w:space="0" w:color="auto"/>
        <w:right w:val="none" w:sz="0" w:space="0" w:color="auto"/>
      </w:divBdr>
    </w:div>
    <w:div w:id="465003217">
      <w:bodyDiv w:val="1"/>
      <w:marLeft w:val="0"/>
      <w:marRight w:val="0"/>
      <w:marTop w:val="0"/>
      <w:marBottom w:val="0"/>
      <w:divBdr>
        <w:top w:val="none" w:sz="0" w:space="0" w:color="auto"/>
        <w:left w:val="none" w:sz="0" w:space="0" w:color="auto"/>
        <w:bottom w:val="none" w:sz="0" w:space="0" w:color="auto"/>
        <w:right w:val="none" w:sz="0" w:space="0" w:color="auto"/>
      </w:divBdr>
    </w:div>
    <w:div w:id="1325667353">
      <w:bodyDiv w:val="1"/>
      <w:marLeft w:val="0"/>
      <w:marRight w:val="0"/>
      <w:marTop w:val="0"/>
      <w:marBottom w:val="0"/>
      <w:divBdr>
        <w:top w:val="none" w:sz="0" w:space="0" w:color="auto"/>
        <w:left w:val="none" w:sz="0" w:space="0" w:color="auto"/>
        <w:bottom w:val="none" w:sz="0" w:space="0" w:color="auto"/>
        <w:right w:val="none" w:sz="0" w:space="0" w:color="auto"/>
      </w:divBdr>
    </w:div>
    <w:div w:id="1393848541">
      <w:bodyDiv w:val="1"/>
      <w:marLeft w:val="0"/>
      <w:marRight w:val="0"/>
      <w:marTop w:val="0"/>
      <w:marBottom w:val="0"/>
      <w:divBdr>
        <w:top w:val="none" w:sz="0" w:space="0" w:color="auto"/>
        <w:left w:val="none" w:sz="0" w:space="0" w:color="auto"/>
        <w:bottom w:val="none" w:sz="0" w:space="0" w:color="auto"/>
        <w:right w:val="none" w:sz="0" w:space="0" w:color="auto"/>
      </w:divBdr>
    </w:div>
    <w:div w:id="1894729979">
      <w:bodyDiv w:val="1"/>
      <w:marLeft w:val="0"/>
      <w:marRight w:val="0"/>
      <w:marTop w:val="0"/>
      <w:marBottom w:val="0"/>
      <w:divBdr>
        <w:top w:val="none" w:sz="0" w:space="0" w:color="auto"/>
        <w:left w:val="none" w:sz="0" w:space="0" w:color="auto"/>
        <w:bottom w:val="none" w:sz="0" w:space="0" w:color="auto"/>
        <w:right w:val="none" w:sz="0" w:space="0" w:color="auto"/>
      </w:divBdr>
    </w:div>
    <w:div w:id="18968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292</Words>
  <Characters>1670</Characters>
  <Application>Microsoft Office Word</Application>
  <DocSecurity>0</DocSecurity>
  <Lines>13</Lines>
  <Paragraphs>3</Paragraphs>
  <ScaleCrop>false</ScaleCrop>
  <Company>China</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7</cp:revision>
  <cp:lastPrinted>2020-01-03T03:51:00Z</cp:lastPrinted>
  <dcterms:created xsi:type="dcterms:W3CDTF">2019-12-23T14:03:00Z</dcterms:created>
  <dcterms:modified xsi:type="dcterms:W3CDTF">2020-03-02T02:19:00Z</dcterms:modified>
</cp:coreProperties>
</file>