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综合模型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2020-JL13(03)-W10114</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38</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bookmarkStart w:id="24" w:name="_GoBack"/>
      <w:r>
        <w:rPr>
          <w:rFonts w:hint="eastAsia" w:ascii="Tahoma" w:hAnsi="Tahoma" w:cs="Tahoma"/>
          <w:b/>
          <w:bCs/>
          <w:kern w:val="0"/>
          <w:sz w:val="28"/>
          <w:szCs w:val="28"/>
        </w:rPr>
        <w:t>关于</w:t>
      </w:r>
      <w:r>
        <w:rPr>
          <w:rFonts w:hint="eastAsia" w:ascii="Tahoma" w:hAnsi="Tahoma" w:cs="Tahoma"/>
          <w:b/>
          <w:bCs/>
          <w:kern w:val="0"/>
          <w:sz w:val="28"/>
          <w:szCs w:val="28"/>
          <w:lang w:eastAsia="zh-CN"/>
        </w:rPr>
        <w:t>综合模型</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2020-JL13(03)-W10114</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综合模型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2020-JL13(03)-W10114</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607"/>
        <w:gridCol w:w="700"/>
        <w:gridCol w:w="1550"/>
        <w:gridCol w:w="700"/>
        <w:gridCol w:w="791"/>
        <w:gridCol w:w="1461"/>
        <w:gridCol w:w="84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3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37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8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37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7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4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5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exact"/>
          <w:jc w:val="center"/>
        </w:trPr>
        <w:tc>
          <w:tcPr>
            <w:tcW w:w="349"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862"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云端成人半身心肺复苏套装 （16个/套）</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3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2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783"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合同签订后90个日历日</w:t>
            </w:r>
          </w:p>
        </w:tc>
        <w:tc>
          <w:tcPr>
            <w:tcW w:w="454"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重庆市</w:t>
            </w:r>
          </w:p>
        </w:tc>
        <w:tc>
          <w:tcPr>
            <w:tcW w:w="543" w:type="pct"/>
            <w:tcBorders>
              <w:top w:val="single" w:color="auto" w:sz="4" w:space="0"/>
              <w:left w:val="single" w:color="auto" w:sz="4" w:space="0"/>
              <w:bottom w:val="single" w:color="auto" w:sz="4" w:space="0"/>
              <w:right w:val="single" w:color="auto" w:sz="4" w:space="0"/>
            </w:tcBorders>
            <w:vAlign w:val="center"/>
          </w:tcPr>
          <w:p>
            <w:pPr>
              <w:bidi w:val="0"/>
              <w:jc w:val="center"/>
            </w:pPr>
            <w:r>
              <w:rPr>
                <w:rFonts w:hint="eastAsia"/>
              </w:rPr>
              <w:t>现场提供样品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349" w:type="pct"/>
            <w:vMerge w:val="continue"/>
            <w:tcBorders>
              <w:left w:val="single" w:color="auto" w:sz="4" w:space="0"/>
              <w:right w:val="single" w:color="auto" w:sz="4" w:space="0"/>
            </w:tcBorders>
            <w:vAlign w:val="center"/>
          </w:tcPr>
          <w:p>
            <w:pPr>
              <w:bidi w:val="0"/>
              <w:jc w:val="center"/>
              <w:rPr>
                <w:rFonts w:hint="eastAsia"/>
              </w:rPr>
            </w:pPr>
          </w:p>
        </w:tc>
        <w:tc>
          <w:tcPr>
            <w:tcW w:w="862"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高智能腰椎穿刺模型</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3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2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2</w:t>
            </w:r>
          </w:p>
        </w:tc>
        <w:tc>
          <w:tcPr>
            <w:tcW w:w="78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tc>
        <w:tc>
          <w:tcPr>
            <w:tcW w:w="454" w:type="pct"/>
            <w:vMerge w:val="continue"/>
            <w:tcBorders>
              <w:left w:val="single" w:color="auto" w:sz="4" w:space="0"/>
              <w:right w:val="single" w:color="auto" w:sz="4" w:space="0"/>
            </w:tcBorders>
            <w:vAlign w:val="center"/>
          </w:tcPr>
          <w:p>
            <w:pPr>
              <w:bidi w:val="0"/>
              <w:jc w:val="center"/>
              <w:rPr>
                <w:rFonts w:hint="eastAsia"/>
              </w:rPr>
            </w:pPr>
          </w:p>
        </w:tc>
        <w:tc>
          <w:tcPr>
            <w:tcW w:w="543"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exact"/>
          <w:jc w:val="center"/>
        </w:trPr>
        <w:tc>
          <w:tcPr>
            <w:tcW w:w="349" w:type="pct"/>
            <w:vMerge w:val="continue"/>
            <w:tcBorders>
              <w:left w:val="single" w:color="auto" w:sz="4" w:space="0"/>
              <w:right w:val="single" w:color="auto" w:sz="4" w:space="0"/>
            </w:tcBorders>
            <w:vAlign w:val="center"/>
          </w:tcPr>
          <w:p>
            <w:pPr>
              <w:bidi w:val="0"/>
              <w:jc w:val="center"/>
              <w:rPr>
                <w:rFonts w:hint="eastAsia"/>
              </w:rPr>
            </w:pPr>
          </w:p>
        </w:tc>
        <w:tc>
          <w:tcPr>
            <w:tcW w:w="862"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高智能腰椎穿刺模型</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3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2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2</w:t>
            </w:r>
          </w:p>
        </w:tc>
        <w:tc>
          <w:tcPr>
            <w:tcW w:w="783" w:type="pct"/>
            <w:vMerge w:val="continue"/>
            <w:tcBorders>
              <w:left w:val="single" w:color="auto" w:sz="4" w:space="0"/>
              <w:right w:val="single" w:color="auto" w:sz="4" w:space="0"/>
            </w:tcBorders>
            <w:vAlign w:val="center"/>
          </w:tcPr>
          <w:p>
            <w:pPr>
              <w:bidi w:val="0"/>
              <w:jc w:val="center"/>
              <w:rPr>
                <w:rFonts w:hint="eastAsia"/>
              </w:rPr>
            </w:pPr>
          </w:p>
        </w:tc>
        <w:tc>
          <w:tcPr>
            <w:tcW w:w="454" w:type="pct"/>
            <w:vMerge w:val="continue"/>
            <w:tcBorders>
              <w:left w:val="single" w:color="auto" w:sz="4" w:space="0"/>
              <w:right w:val="single" w:color="auto" w:sz="4" w:space="0"/>
            </w:tcBorders>
            <w:vAlign w:val="center"/>
          </w:tcPr>
          <w:p>
            <w:pPr>
              <w:bidi w:val="0"/>
              <w:jc w:val="center"/>
              <w:rPr>
                <w:rFonts w:hint="eastAsia"/>
              </w:rPr>
            </w:pPr>
          </w:p>
        </w:tc>
        <w:tc>
          <w:tcPr>
            <w:tcW w:w="543"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exact"/>
          <w:jc w:val="center"/>
        </w:trPr>
        <w:tc>
          <w:tcPr>
            <w:tcW w:w="349" w:type="pct"/>
            <w:vMerge w:val="continue"/>
            <w:tcBorders>
              <w:left w:val="single" w:color="auto" w:sz="4" w:space="0"/>
              <w:right w:val="single" w:color="auto" w:sz="4" w:space="0"/>
            </w:tcBorders>
            <w:vAlign w:val="center"/>
          </w:tcPr>
          <w:p>
            <w:pPr>
              <w:bidi w:val="0"/>
              <w:jc w:val="center"/>
              <w:rPr>
                <w:rFonts w:hint="eastAsia"/>
              </w:rPr>
            </w:pPr>
          </w:p>
        </w:tc>
        <w:tc>
          <w:tcPr>
            <w:tcW w:w="862"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腰椎穿刺训练模型，带压力监测系统</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3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2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2</w:t>
            </w:r>
          </w:p>
        </w:tc>
        <w:tc>
          <w:tcPr>
            <w:tcW w:w="783" w:type="pct"/>
            <w:vMerge w:val="continue"/>
            <w:tcBorders>
              <w:left w:val="single" w:color="auto" w:sz="4" w:space="0"/>
              <w:right w:val="single" w:color="auto" w:sz="4" w:space="0"/>
            </w:tcBorders>
            <w:vAlign w:val="center"/>
          </w:tcPr>
          <w:p>
            <w:pPr>
              <w:bidi w:val="0"/>
              <w:jc w:val="center"/>
              <w:rPr>
                <w:rFonts w:hint="eastAsia"/>
              </w:rPr>
            </w:pPr>
          </w:p>
        </w:tc>
        <w:tc>
          <w:tcPr>
            <w:tcW w:w="454" w:type="pct"/>
            <w:vMerge w:val="continue"/>
            <w:tcBorders>
              <w:left w:val="single" w:color="auto" w:sz="4" w:space="0"/>
              <w:right w:val="single" w:color="auto" w:sz="4" w:space="0"/>
            </w:tcBorders>
            <w:vAlign w:val="center"/>
          </w:tcPr>
          <w:p>
            <w:pPr>
              <w:bidi w:val="0"/>
              <w:jc w:val="center"/>
              <w:rPr>
                <w:rFonts w:hint="eastAsia"/>
              </w:rPr>
            </w:pPr>
          </w:p>
        </w:tc>
        <w:tc>
          <w:tcPr>
            <w:tcW w:w="543"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exact"/>
          <w:jc w:val="center"/>
        </w:trPr>
        <w:tc>
          <w:tcPr>
            <w:tcW w:w="349"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862"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婴儿心肺复苏模型（4个/包）</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3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75"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2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lang w:val="en-US" w:eastAsia="zh-CN"/>
              </w:rPr>
              <w:t>2</w:t>
            </w:r>
          </w:p>
        </w:tc>
        <w:tc>
          <w:tcPr>
            <w:tcW w:w="783"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54"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543"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3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4650"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五、样品</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（一）提交样品时间：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7</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r>
        <w:rPr>
          <w:rFonts w:hint="eastAsia" w:cs="Times New Roman" w:asciiTheme="minorEastAsia" w:hAnsiTheme="minorEastAsia"/>
          <w:b w:val="0"/>
          <w:bCs/>
          <w:color w:val="auto"/>
          <w:kern w:val="0"/>
          <w:sz w:val="24"/>
          <w:szCs w:val="24"/>
        </w:rPr>
        <w:t xml:space="preserve"> 。</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（二）提交样品地点：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hint="default" w:cs="Times New Roman" w:asciiTheme="minorEastAsia" w:hAnsiTheme="minorEastAsia" w:eastAsiaTheme="minorEastAsia"/>
          <w:b w:val="0"/>
          <w:bCs/>
          <w:color w:val="auto"/>
          <w:kern w:val="0"/>
          <w:sz w:val="24"/>
          <w:szCs w:val="24"/>
          <w:lang w:val="en-US" w:eastAsia="zh-CN"/>
        </w:rPr>
      </w:pPr>
      <w:r>
        <w:rPr>
          <w:rFonts w:hint="eastAsia" w:cs="Times New Roman" w:asciiTheme="minorEastAsia" w:hAnsiTheme="minorEastAsia"/>
          <w:b w:val="0"/>
          <w:bCs/>
          <w:color w:val="auto"/>
          <w:kern w:val="0"/>
          <w:sz w:val="24"/>
          <w:szCs w:val="24"/>
        </w:rPr>
        <w:t>（三）提交样品数量：云端成人半身心肺复苏套装 （16个/套）</w:t>
      </w:r>
      <w:r>
        <w:rPr>
          <w:rFonts w:hint="eastAsia" w:cs="Times New Roman" w:asciiTheme="minorEastAsia" w:hAnsiTheme="minorEastAsia"/>
          <w:b w:val="0"/>
          <w:bCs/>
          <w:color w:val="auto"/>
          <w:kern w:val="0"/>
          <w:sz w:val="24"/>
          <w:szCs w:val="24"/>
          <w:lang w:val="en-US" w:eastAsia="zh-CN"/>
        </w:rPr>
        <w:t>1套。</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（四）提交样品要求：投标人提供虚假样品或者借用、冒用其他供应商样品的，评标委员会按无效投标处理。评审结束后发现此类情况的，招标人有权拒签、取消或废止采购合同。</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6</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13</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7</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7</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7</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（www.plap.cn）及我院官网（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十</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6</w:t>
      </w:r>
      <w:r>
        <w:rPr>
          <w:rFonts w:hint="eastAsia" w:cs="Times New Roman" w:asciiTheme="minorEastAsia" w:hAnsiTheme="minorEastAsia"/>
          <w:color w:val="auto"/>
          <w:kern w:val="0"/>
          <w:sz w:val="24"/>
          <w:szCs w:val="24"/>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bookmarkEnd w:id="24"/>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435540979"/>
      <w:bookmarkStart w:id="6" w:name="_Toc37172688"/>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99" w:type="pct"/>
        <w:jc w:val="center"/>
        <w:tblLayout w:type="autofit"/>
        <w:tblCellMar>
          <w:top w:w="0" w:type="dxa"/>
          <w:left w:w="108" w:type="dxa"/>
          <w:bottom w:w="0" w:type="dxa"/>
          <w:right w:w="108" w:type="dxa"/>
        </w:tblCellMar>
      </w:tblPr>
      <w:tblGrid>
        <w:gridCol w:w="857"/>
        <w:gridCol w:w="2285"/>
        <w:gridCol w:w="1285"/>
        <w:gridCol w:w="2440"/>
        <w:gridCol w:w="1067"/>
        <w:gridCol w:w="943"/>
      </w:tblGrid>
      <w:tr>
        <w:tblPrEx>
          <w:tblCellMar>
            <w:top w:w="0" w:type="dxa"/>
            <w:left w:w="108" w:type="dxa"/>
            <w:bottom w:w="0" w:type="dxa"/>
            <w:right w:w="108" w:type="dxa"/>
          </w:tblCellMar>
        </w:tblPrEx>
        <w:trPr>
          <w:trHeight w:val="1109"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28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物资名称</w:t>
            </w:r>
          </w:p>
        </w:tc>
        <w:tc>
          <w:tcPr>
            <w:tcW w:w="1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型号</w:t>
            </w:r>
          </w:p>
        </w:tc>
        <w:tc>
          <w:tcPr>
            <w:tcW w:w="2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技术指标参数要求</w:t>
            </w:r>
          </w:p>
        </w:tc>
        <w:tc>
          <w:tcPr>
            <w:tcW w:w="10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计量</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94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2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云端成人半身心肺复苏套装 （16个/套）</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2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高智能腰椎穿刺模型</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w:t>
            </w:r>
          </w:p>
        </w:tc>
        <w:tc>
          <w:tcPr>
            <w:tcW w:w="2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高智能腰椎穿刺模型</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w:t>
            </w:r>
          </w:p>
        </w:tc>
        <w:tc>
          <w:tcPr>
            <w:tcW w:w="2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腰椎穿刺训练模型，带压力监测系统</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2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婴儿心肺复苏模型</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（4个/包）</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r>
      <w:bookmarkEnd w:id="8"/>
    </w:tbl>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综合模型</w:t>
      </w:r>
      <w:r>
        <w:rPr>
          <w:rFonts w:hint="eastAsia" w:ascii="宋体" w:hAnsi="宋体" w:eastAsia="宋体" w:cs="宋体"/>
          <w:bCs/>
          <w:kern w:val="0"/>
          <w:sz w:val="32"/>
          <w:szCs w:val="32"/>
        </w:rPr>
        <w:t>技术要求</w:t>
      </w:r>
    </w:p>
    <w:tbl>
      <w:tblPr>
        <w:tblStyle w:val="17"/>
        <w:tblW w:w="9054" w:type="dxa"/>
        <w:tblInd w:w="209" w:type="dxa"/>
        <w:tblLayout w:type="fixed"/>
        <w:tblCellMar>
          <w:top w:w="0" w:type="dxa"/>
          <w:left w:w="108" w:type="dxa"/>
          <w:bottom w:w="0" w:type="dxa"/>
          <w:right w:w="108" w:type="dxa"/>
        </w:tblCellMar>
      </w:tblPr>
      <w:tblGrid>
        <w:gridCol w:w="434"/>
        <w:gridCol w:w="1490"/>
        <w:gridCol w:w="6270"/>
        <w:gridCol w:w="860"/>
      </w:tblGrid>
      <w:tr>
        <w:tblPrEx>
          <w:tblCellMar>
            <w:top w:w="0" w:type="dxa"/>
            <w:left w:w="108" w:type="dxa"/>
            <w:bottom w:w="0" w:type="dxa"/>
            <w:right w:w="108" w:type="dxa"/>
          </w:tblCellMar>
        </w:tblPrEx>
        <w:trPr>
          <w:trHeight w:val="369" w:hRule="atLeast"/>
        </w:trPr>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6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389" w:hRule="atLeast"/>
        </w:trPr>
        <w:tc>
          <w:tcPr>
            <w:tcW w:w="434"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云端成人半身心肺复苏套装 </w:t>
            </w:r>
          </w:p>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（16个/套）</w:t>
            </w:r>
          </w:p>
        </w:tc>
        <w:tc>
          <w:tcPr>
            <w:tcW w:w="62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★1.可进行心肺复苏练习，不同培训地点数据可上传至同一服务器，并使用手机（或电脑端）查看和分析数据，可连接不同种类电子设备大屏幕；</w:t>
            </w:r>
          </w:p>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符合最新国际心肺复苏指南标准，有实时反馈、总结性反馈和竞赛等多种模式，可设置不同合格阈值；有声音提示，声音提示可打开（也可关闭）；</w:t>
            </w:r>
          </w:p>
          <w:p>
            <w:pPr>
              <w:keepNext w:val="0"/>
              <w:keepLines w:val="0"/>
              <w:widowControl/>
              <w:numPr>
                <w:ilvl w:val="0"/>
                <w:numId w:val="0"/>
              </w:numPr>
              <w:suppressLineNumbers w:val="0"/>
              <w:jc w:val="both"/>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3.正确通气可看到胸廓起伏；</w:t>
            </w:r>
          </w:p>
          <w:p>
            <w:pPr>
              <w:keepNext w:val="0"/>
              <w:keepLines w:val="0"/>
              <w:widowControl/>
              <w:numPr>
                <w:ilvl w:val="0"/>
                <w:numId w:val="0"/>
              </w:numPr>
              <w:suppressLineNumbers w:val="0"/>
              <w:jc w:val="both"/>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★4.可同时</w:t>
            </w:r>
            <w:r>
              <w:rPr>
                <w:rStyle w:val="48"/>
                <w:lang w:val="en-US" w:eastAsia="zh-CN" w:bidi="ar"/>
              </w:rPr>
              <w:t>连接多个模型，</w:t>
            </w:r>
            <w:r>
              <w:rPr>
                <w:rFonts w:hint="eastAsia" w:ascii="宋体" w:hAnsi="宋体" w:eastAsia="宋体" w:cs="宋体"/>
                <w:i w:val="0"/>
                <w:color w:val="000000"/>
                <w:kern w:val="0"/>
                <w:sz w:val="22"/>
                <w:szCs w:val="22"/>
                <w:u w:val="none"/>
                <w:lang w:val="en-US" w:eastAsia="zh-CN" w:bidi="ar"/>
              </w:rPr>
              <w:t>并对操作进行反馈；</w:t>
            </w:r>
          </w:p>
          <w:p>
            <w:pPr>
              <w:keepNext w:val="0"/>
              <w:keepLines w:val="0"/>
              <w:widowControl/>
              <w:numPr>
                <w:ilvl w:val="0"/>
                <w:numId w:val="0"/>
              </w:numPr>
              <w:suppressLineNumbers w:val="0"/>
              <w:jc w:val="both"/>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5.模型连接软件时，可对模型进行重新编号，设置当前使用的模型</w:t>
            </w:r>
            <w:r>
              <w:rPr>
                <w:rFonts w:hint="eastAsia"/>
                <w:lang w:val="en-US" w:eastAsia="zh-CN"/>
              </w:rPr>
              <w:t>数量，CPR反馈窗口</w:t>
            </w:r>
            <w:r>
              <w:rPr>
                <w:lang w:val="en-US" w:eastAsia="zh-CN"/>
              </w:rPr>
              <w:t>可随设置的模型数量进行调整。</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val="0"/>
                <w:bCs w:val="0"/>
                <w:kern w:val="0"/>
                <w:szCs w:val="21"/>
                <w:lang w:eastAsia="zh-CN"/>
              </w:rPr>
              <w:t>需提供样品</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151" w:hRule="atLeast"/>
        </w:trPr>
        <w:tc>
          <w:tcPr>
            <w:tcW w:w="434"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49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高智能腰椎穿刺模型</w:t>
            </w:r>
          </w:p>
        </w:tc>
        <w:tc>
          <w:tcPr>
            <w:tcW w:w="627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剖结构准确，可在多个体位下行腰椎穿刺、硬膜外阻滞、腰麻、尾神经阻滞、骶神经阻滞、腰交感神经阻滞操作训练（腰腿部可活动），穿刺进至黄韧带有阻力，穿透有落空感，进硬膜外腔时，有负压产生，可有脑脊液流出，穿刺错误有提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★2.方便移动、维护、收纳附件，可自动注液、排液，穿刺模块可更换；</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★3.可实时观测进针位置和穿刺深度，可自动隐藏（也可自动显示）。</w:t>
            </w:r>
          </w:p>
        </w:tc>
        <w:tc>
          <w:tcPr>
            <w:tcW w:w="860"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0" w:hRule="atLeast"/>
        </w:trPr>
        <w:tc>
          <w:tcPr>
            <w:tcW w:w="434"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高智能腰椎穿刺模型</w:t>
            </w:r>
          </w:p>
        </w:tc>
        <w:tc>
          <w:tcPr>
            <w:tcW w:w="62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★1.可在超声引导下使用临床真实导管进行多个体位硬膜外穿刺给药和腰椎穿刺训练，并有超声图像；</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可触及骶骨髂嵴和椎骨，解剖结构准确，包含皮肤、脂肪层、肌肉层、黄韧带；</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进行硬膜外穿刺突破黄韧带时，能有突破感和阻力感，并可把导管针滞留在模型体内；</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★4.穿刺成功时可取出脑脊液，并收集和测量（脑脊液容量≥2升，并配有储液罐≥2升）；</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5.可选配肥胖人脂肪层，增加穿刺难度，皮肤可以转动变化位置，可持久耐用；</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 xml:space="preserve">6.皮肤、椎骨、肌肉组织可更换。 </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lang w:eastAsia="zh-CN"/>
              </w:rPr>
            </w:pPr>
          </w:p>
        </w:tc>
      </w:tr>
      <w:tr>
        <w:tblPrEx>
          <w:tblCellMar>
            <w:top w:w="0" w:type="dxa"/>
            <w:left w:w="108" w:type="dxa"/>
            <w:bottom w:w="0" w:type="dxa"/>
            <w:right w:w="108" w:type="dxa"/>
          </w:tblCellMar>
        </w:tblPrEx>
        <w:trPr>
          <w:trHeight w:val="990" w:hRule="atLeast"/>
        </w:trPr>
        <w:tc>
          <w:tcPr>
            <w:tcW w:w="434"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4</w:t>
            </w:r>
          </w:p>
        </w:tc>
        <w:tc>
          <w:tcPr>
            <w:tcW w:w="14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腰椎穿刺训练模型，带压力监测系统</w:t>
            </w:r>
          </w:p>
        </w:tc>
        <w:tc>
          <w:tcPr>
            <w:tcW w:w="62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★1.解剖结构准确，带有可更换的组织插入物、耐用的脊椎和硬膜，可在多个体位下进行腰椎穿刺训练；</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★2.硬膜被刺穿时有突破感和进针阻力感；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★3.穿刺成功时可取出脑脊液（脑脊液容量≥2升，并配有储液罐≥2升）；</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可使用临床真实的压力表来测量脑脊液的压力，压力可以自由调节；</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模型内部硬膜每一个位点可以穿刺≥200 次，硬膜可≥360°旋转，模型整体穿刺可达上万次，皮肤、椎骨、肌肉组织可更换；</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6.可选配肥胖脂肪模块，增加穿刺操作难度。</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99" w:hRule="atLeast"/>
        </w:trPr>
        <w:tc>
          <w:tcPr>
            <w:tcW w:w="434"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5</w:t>
            </w:r>
          </w:p>
        </w:tc>
        <w:tc>
          <w:tcPr>
            <w:tcW w:w="1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婴儿心肺复苏模型（4个/包）</w:t>
            </w:r>
          </w:p>
        </w:tc>
        <w:tc>
          <w:tcPr>
            <w:tcW w:w="62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★1.根据最新国际心肺复苏指南标准可在户外进行心肺复苏训练，正确仰额抬颌可开放气道；</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★2.进行窒息训练时，抢救成功后婴儿可自主发出哭声；</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★3.配备的电子显示器屏幕≥3.8英寸，且具有反馈、考评等模式；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★4.模型带有蓝牙功能，连接手机APP，实时反馈操作情况，时间可以自行进行设置；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★5.连接导师APP时，可编辑学员的姓名与操作的模型相匹配，便于成绩保存和查看，在同一屏幕上反馈≥2个学员的操作过程；</w:t>
            </w:r>
          </w:p>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★6.按压评估报告均以百分比形式显示。</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75" w:hRule="atLeast"/>
        </w:trPr>
        <w:tc>
          <w:tcPr>
            <w:tcW w:w="1924"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7130"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6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6" w:hRule="atLeast"/>
        </w:trPr>
        <w:tc>
          <w:tcPr>
            <w:tcW w:w="43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627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8"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6"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85612601"/>
      <w:bookmarkStart w:id="10" w:name="_Toc240432230"/>
      <w:bookmarkStart w:id="11" w:name="_Toc390713968"/>
      <w:bookmarkStart w:id="12" w:name="_Toc43554098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本采购项目需要公开的有关信息，招标人均通过《招标网》（</w:t>
      </w:r>
      <w:r>
        <w:rPr>
          <w:rFonts w:hint="eastAsia" w:cs="Times New Roman" w:asciiTheme="minorEastAsia" w:hAnsiTheme="minorEastAsia"/>
          <w:snapToGrid w:val="0"/>
          <w:kern w:val="0"/>
          <w:sz w:val="24"/>
          <w:szCs w:val="24"/>
          <w:lang w:val="zh-CN"/>
        </w:rPr>
        <w:fldChar w:fldCharType="begin"/>
      </w:r>
      <w:r>
        <w:rPr>
          <w:rFonts w:hint="eastAsia" w:cs="Times New Roman" w:asciiTheme="minorEastAsia" w:hAnsiTheme="minorEastAsia"/>
          <w:snapToGrid w:val="0"/>
          <w:kern w:val="0"/>
          <w:sz w:val="24"/>
          <w:szCs w:val="24"/>
          <w:lang w:val="zh-CN"/>
        </w:rPr>
        <w:instrText xml:space="preserve"> HYPERLINK "http://www.zhaobiao.cn" </w:instrText>
      </w:r>
      <w:r>
        <w:rPr>
          <w:rFonts w:hint="eastAsia" w:cs="Times New Roman" w:asciiTheme="minorEastAsia" w:hAnsiTheme="minorEastAsia"/>
          <w:snapToGrid w:val="0"/>
          <w:kern w:val="0"/>
          <w:sz w:val="24"/>
          <w:szCs w:val="24"/>
          <w:lang w:val="zh-CN"/>
        </w:rPr>
        <w:fldChar w:fldCharType="separate"/>
      </w:r>
      <w:r>
        <w:rPr>
          <w:rFonts w:hint="eastAsia" w:cs="Times New Roman" w:asciiTheme="minorEastAsia" w:hAnsiTheme="minorEastAsia"/>
          <w:snapToGrid w:val="0"/>
          <w:kern w:val="0"/>
          <w:sz w:val="24"/>
          <w:szCs w:val="24"/>
          <w:lang w:val="zh-CN"/>
        </w:rPr>
        <w:t>www.zhaobiao.cn</w:t>
      </w:r>
      <w:r>
        <w:rPr>
          <w:rFonts w:hint="eastAsia" w:cs="Times New Roman" w:asciiTheme="minorEastAsia" w:hAnsiTheme="minorEastAsia"/>
          <w:snapToGrid w:val="0"/>
          <w:kern w:val="0"/>
          <w:sz w:val="24"/>
          <w:szCs w:val="24"/>
          <w:lang w:val="zh-CN"/>
        </w:rPr>
        <w:fldChar w:fldCharType="end"/>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ww.plap.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w:t>
            </w:r>
            <w:r>
              <w:rPr>
                <w:rFonts w:hint="eastAsia" w:cs="Times New Roman" w:asciiTheme="minorEastAsia" w:hAnsiTheme="minorEastAsia"/>
                <w:kern w:val="0"/>
                <w:sz w:val="21"/>
                <w:szCs w:val="21"/>
                <w:lang w:val="en-US" w:eastAsia="zh-CN"/>
              </w:rPr>
              <w:t>41</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云端成人半身心肺复苏套装 （16个/套）</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★1.可进行心肺复苏练习，不同培训地点数据可上传至同一服务器，并使用手机（或电脑端）查看和分析数据，可连接不同种类电子设备大屏幕；</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2.符合最新国际心肺复苏指南标准，有实时反馈、总结性反馈和竞赛等多种模式，可设置不同合格阈值；有声音提示，声音提示可打开（也可关闭）；</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3.正确通气可看到胸廓起伏；</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★4.可同时连接多个模型，并对操作进行反馈；</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5.模型连接软件时，可对模型进行重新编号，设置当前使用的模型数量，CPR反馈窗口可随设置的模型数量进行调整。</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高智能腰椎穿刺模型</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结构准确，可在多个体位下行腰椎穿刺、硬膜外阻滞、腰麻、尾神经阻滞、骶神经阻滞、腰交感神经阻滞操作训练（腰腿部可活动），穿刺进至黄韧带有阻力，穿透有落空感，进硬膜外腔时，有负压产生，可有脑脊液流出，穿刺错误有提示；</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★2.方便移动、维护、收纳附件，可自动注液、排液，穿刺模块可更换；</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★3.可实时观测进针位置和穿刺深度，可自动隐藏（也可自动显示）。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高智能腰椎穿刺模型</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★1.可在超声引导下使用临床真实导管进行多个体位硬膜外穿刺给药和腰椎穿刺训练，并有超声图像；</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2.可触及骶骨髂嵴和椎骨，解剖结构准确，包含皮肤、脂肪层、肌肉层、黄韧带；</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3.进行硬膜外穿刺突破黄韧带时，能有突破感和阻力感，并可把导管针滞留在模型体内；</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★4.穿刺成功时可取出脑脊液，并收集和测量（脑脊液容量≥2升，并配有储液罐≥2升）；</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5.可选配肥胖人脂肪层，增加穿刺难度，皮肤可以转动变化位置，可持久耐用；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 xml:space="preserve">6.皮肤、椎骨、肌肉组织可更换。 </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腰椎穿刺训练模型，带压力监测系统</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★1.解剖结构准确，带有可更换的组织插入物、耐用的脊椎和硬膜，可在多个体位下进行腰椎穿刺训练；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★2.硬膜被刺穿时有突破感和进针阻力感；</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★3.穿刺成功时可取出脑脊液（脑脊液容量≥2升，并配有储液罐≥2升）；</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4.可使用临床真实的压力表来测量脑脊液的压力，压力可以自由调节；</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5.模型内部硬膜每一个位点可以穿刺≥200 次，硬膜可≥360°旋转，模型整体穿刺可达上万次，皮肤、椎骨、肌肉组织可更换；</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6.可选配肥胖脂肪模块，增加穿刺操作难度。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婴儿心肺复苏模型（4个/包）</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★1.根据最新国际心肺复苏指南标准可在户外进行心肺复苏训练，正确仰额抬颌可开放气道；</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★2.进行窒息训练时，抢救成功后婴儿可自主发出哭声；</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★3.配备的电子显示器屏幕≥3.8英寸，且具有反馈、考评等模式；</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★4.模型带有蓝牙功能，连接手机APP，实时反馈操作情况，时间可以自行进行设置；</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★5.连接导师APP时，可编辑学员的姓名与操作的模型相匹配，便于成绩保存和查看，在同一屏幕上反馈≥2个学员的操作过程；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★6.按压评估报告均以百分比形式显示。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Align w:val="center"/>
          </w:tcPr>
          <w:p>
            <w:pPr>
              <w:widowControl/>
              <w:snapToGrid w:val="0"/>
              <w:spacing w:line="2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样品</w:t>
            </w:r>
          </w:p>
        </w:tc>
        <w:tc>
          <w:tcPr>
            <w:tcW w:w="6946" w:type="dxa"/>
            <w:noWrap/>
            <w:vAlign w:val="center"/>
          </w:tcPr>
          <w:p>
            <w:pPr>
              <w:widowControl/>
              <w:snapToGrid w:val="0"/>
              <w:spacing w:line="240" w:lineRule="exact"/>
              <w:jc w:val="left"/>
              <w:rPr>
                <w:rFonts w:hint="eastAsia" w:ascii="宋体" w:hAnsi="宋体" w:eastAsia="宋体" w:cs="宋体"/>
                <w:kern w:val="0"/>
                <w:sz w:val="21"/>
                <w:szCs w:val="21"/>
              </w:rPr>
            </w:pPr>
            <w:r>
              <w:rPr>
                <w:rFonts w:hint="eastAsia" w:ascii="宋体" w:hAnsi="宋体" w:eastAsia="宋体" w:cs="宋体"/>
                <w:color w:val="auto"/>
                <w:szCs w:val="21"/>
                <w:highlight w:val="none"/>
              </w:rPr>
              <w:t>根据样品的外观、现场测试数据等指标评分</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四</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7172690"/>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435540982"/>
      <w:bookmarkStart w:id="20" w:name="_Toc390713970"/>
      <w:bookmarkStart w:id="21" w:name="_Toc37172691"/>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D3C49"/>
    <w:multiLevelType w:val="singleLevel"/>
    <w:tmpl w:val="837D3C49"/>
    <w:lvl w:ilvl="0" w:tentative="0">
      <w:start w:val="2"/>
      <w:numFmt w:val="decimal"/>
      <w:lvlText w:val="%1."/>
      <w:lvlJc w:val="left"/>
      <w:pPr>
        <w:tabs>
          <w:tab w:val="left" w:pos="312"/>
        </w:tabs>
      </w:pPr>
    </w:lvl>
  </w:abstractNum>
  <w:abstractNum w:abstractNumId="1">
    <w:nsid w:val="2AFA3EDC"/>
    <w:multiLevelType w:val="singleLevel"/>
    <w:tmpl w:val="2AFA3EDC"/>
    <w:lvl w:ilvl="0" w:tentative="0">
      <w:start w:val="1"/>
      <w:numFmt w:val="decimal"/>
      <w:lvlText w:val="%1."/>
      <w:lvlJc w:val="left"/>
      <w:pPr>
        <w:tabs>
          <w:tab w:val="left" w:pos="312"/>
        </w:tabs>
      </w:pPr>
    </w:lvl>
  </w:abstractNum>
  <w:abstractNum w:abstractNumId="2">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1B7A7855"/>
    <w:rsid w:val="2C3A1EA5"/>
    <w:rsid w:val="34612F70"/>
    <w:rsid w:val="38C2709D"/>
    <w:rsid w:val="3BF72575"/>
    <w:rsid w:val="45BD552E"/>
    <w:rsid w:val="4B64398A"/>
    <w:rsid w:val="50493BFC"/>
    <w:rsid w:val="532C512B"/>
    <w:rsid w:val="53F71FA8"/>
    <w:rsid w:val="5450629B"/>
    <w:rsid w:val="564F3924"/>
    <w:rsid w:val="5AB16304"/>
    <w:rsid w:val="74246FD8"/>
    <w:rsid w:val="76DF3F26"/>
    <w:rsid w:val="78505226"/>
    <w:rsid w:val="7E11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1</TotalTime>
  <ScaleCrop>false</ScaleCrop>
  <LinksUpToDate>false</LinksUpToDate>
  <CharactersWithSpaces>33081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2021-01-06T03:45:27Z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