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23" w:rsidRDefault="00006663">
      <w:pPr>
        <w:widowControl w:val="0"/>
        <w:topLinePunct w:val="0"/>
        <w:autoSpaceDE/>
        <w:adjustRightInd/>
        <w:spacing w:line="240" w:lineRule="auto"/>
        <w:rPr>
          <w:rFonts w:cs="Arial"/>
          <w:b/>
          <w:sz w:val="32"/>
          <w:szCs w:val="32"/>
          <w:u w:val="single"/>
        </w:rPr>
      </w:pPr>
      <w:r>
        <w:rPr>
          <w:rFonts w:cs="Arial" w:hint="eastAsia"/>
          <w:b/>
          <w:sz w:val="32"/>
          <w:szCs w:val="32"/>
        </w:rPr>
        <w:t>项目名称：</w:t>
      </w:r>
      <w:r>
        <w:rPr>
          <w:rFonts w:cs="Arial" w:hint="eastAsia"/>
          <w:b/>
          <w:sz w:val="32"/>
          <w:szCs w:val="32"/>
          <w:u w:val="single"/>
        </w:rPr>
        <w:t xml:space="preserve">      </w:t>
      </w:r>
      <w:r>
        <w:rPr>
          <w:rFonts w:cs="Arial" w:hint="eastAsia"/>
          <w:b/>
          <w:sz w:val="32"/>
          <w:szCs w:val="32"/>
          <w:u w:val="single"/>
        </w:rPr>
        <w:t>人工智能肿瘤辅助诊疗互动平台</w:t>
      </w:r>
      <w:r>
        <w:rPr>
          <w:rFonts w:cs="Arial" w:hint="eastAsia"/>
          <w:b/>
          <w:sz w:val="32"/>
          <w:szCs w:val="32"/>
          <w:u w:val="single"/>
        </w:rPr>
        <w:t xml:space="preserve">     </w:t>
      </w:r>
    </w:p>
    <w:p w:rsidR="00BB4623" w:rsidRDefault="00006663">
      <w:pPr>
        <w:widowControl w:val="0"/>
        <w:topLinePunct w:val="0"/>
        <w:autoSpaceDE/>
        <w:adjustRightInd/>
        <w:spacing w:line="240" w:lineRule="auto"/>
        <w:rPr>
          <w:rFonts w:cs="Times New Roman"/>
          <w:b/>
          <w:sz w:val="28"/>
          <w:szCs w:val="28"/>
        </w:rPr>
      </w:pPr>
      <w:r>
        <w:rPr>
          <w:rFonts w:cs="Times New Roman" w:hint="eastAsia"/>
          <w:b/>
          <w:sz w:val="28"/>
          <w:szCs w:val="28"/>
        </w:rPr>
        <w:t>一、招标内容一览表</w:t>
      </w:r>
    </w:p>
    <w:p w:rsidR="00BB4623" w:rsidRDefault="00BB4623">
      <w:pPr>
        <w:widowControl w:val="0"/>
        <w:topLinePunct w:val="0"/>
        <w:autoSpaceDE/>
        <w:adjustRightInd/>
        <w:spacing w:line="240" w:lineRule="auto"/>
        <w:rPr>
          <w:rFonts w:cs="Times New Roman"/>
          <w:sz w:val="21"/>
          <w:szCs w:val="21"/>
        </w:rPr>
      </w:pPr>
    </w:p>
    <w:tbl>
      <w:tblPr>
        <w:tblpPr w:leftFromText="180" w:rightFromText="180" w:vertAnchor="text" w:horzAnchor="margin" w:tblpY="152"/>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5132"/>
        <w:gridCol w:w="2210"/>
      </w:tblGrid>
      <w:tr w:rsidR="00BB4623">
        <w:trPr>
          <w:trHeight w:hRule="exact" w:val="454"/>
        </w:trPr>
        <w:tc>
          <w:tcPr>
            <w:tcW w:w="1072" w:type="dxa"/>
            <w:vAlign w:val="center"/>
          </w:tcPr>
          <w:p w:rsidR="00BB4623" w:rsidRDefault="00006663">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序号</w:t>
            </w:r>
          </w:p>
        </w:tc>
        <w:tc>
          <w:tcPr>
            <w:tcW w:w="5132" w:type="dxa"/>
            <w:vAlign w:val="center"/>
          </w:tcPr>
          <w:p w:rsidR="00BB4623" w:rsidRDefault="00006663">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内容</w:t>
            </w:r>
          </w:p>
        </w:tc>
        <w:tc>
          <w:tcPr>
            <w:tcW w:w="2210" w:type="dxa"/>
            <w:vAlign w:val="center"/>
          </w:tcPr>
          <w:p w:rsidR="00BB4623" w:rsidRDefault="00006663">
            <w:pPr>
              <w:widowControl w:val="0"/>
              <w:topLinePunct w:val="0"/>
              <w:autoSpaceDE/>
              <w:adjustRightInd/>
              <w:spacing w:line="240" w:lineRule="auto"/>
              <w:jc w:val="center"/>
              <w:rPr>
                <w:rFonts w:cs="Times New Roman"/>
                <w:b/>
                <w:bCs/>
                <w:sz w:val="21"/>
                <w:szCs w:val="21"/>
              </w:rPr>
            </w:pPr>
            <w:r>
              <w:rPr>
                <w:rFonts w:cs="Times New Roman" w:hint="eastAsia"/>
                <w:b/>
                <w:bCs/>
                <w:sz w:val="21"/>
                <w:szCs w:val="21"/>
              </w:rPr>
              <w:t>数量</w:t>
            </w:r>
          </w:p>
        </w:tc>
      </w:tr>
      <w:tr w:rsidR="00BB4623">
        <w:trPr>
          <w:trHeight w:hRule="exact" w:val="454"/>
        </w:trPr>
        <w:tc>
          <w:tcPr>
            <w:tcW w:w="1072" w:type="dxa"/>
            <w:vAlign w:val="center"/>
          </w:tcPr>
          <w:p w:rsidR="00BB4623" w:rsidRDefault="00BB4623">
            <w:pPr>
              <w:widowControl w:val="0"/>
              <w:numPr>
                <w:ilvl w:val="0"/>
                <w:numId w:val="1"/>
              </w:numPr>
              <w:topLinePunct w:val="0"/>
              <w:autoSpaceDE/>
              <w:adjustRightInd/>
              <w:spacing w:line="240" w:lineRule="auto"/>
              <w:jc w:val="center"/>
              <w:rPr>
                <w:rFonts w:cs="Times New Roman"/>
                <w:sz w:val="21"/>
                <w:szCs w:val="21"/>
              </w:rPr>
            </w:pPr>
          </w:p>
        </w:tc>
        <w:tc>
          <w:tcPr>
            <w:tcW w:w="5132" w:type="dxa"/>
            <w:vAlign w:val="center"/>
          </w:tcPr>
          <w:p w:rsidR="00BB4623" w:rsidRDefault="00006663">
            <w:pPr>
              <w:widowControl w:val="0"/>
              <w:topLinePunct w:val="0"/>
              <w:autoSpaceDE/>
              <w:adjustRightInd/>
              <w:spacing w:line="240" w:lineRule="auto"/>
              <w:rPr>
                <w:rFonts w:cs="Times New Roman"/>
                <w:color w:val="FF0000"/>
                <w:sz w:val="21"/>
                <w:szCs w:val="21"/>
              </w:rPr>
            </w:pPr>
            <w:r>
              <w:rPr>
                <w:rFonts w:cs="Times New Roman" w:hint="eastAsia"/>
                <w:sz w:val="21"/>
                <w:szCs w:val="21"/>
              </w:rPr>
              <w:t>系统服务</w:t>
            </w:r>
          </w:p>
        </w:tc>
        <w:tc>
          <w:tcPr>
            <w:tcW w:w="2210" w:type="dxa"/>
            <w:vAlign w:val="center"/>
          </w:tcPr>
          <w:p w:rsidR="00BB4623" w:rsidRDefault="00006663">
            <w:pPr>
              <w:widowControl w:val="0"/>
              <w:topLinePunct w:val="0"/>
              <w:autoSpaceDE/>
              <w:adjustRightInd/>
              <w:spacing w:line="240" w:lineRule="auto"/>
              <w:rPr>
                <w:rFonts w:cs="Times New Roman"/>
                <w:sz w:val="21"/>
                <w:szCs w:val="21"/>
              </w:rPr>
            </w:pPr>
            <w:r>
              <w:rPr>
                <w:rFonts w:cs="Times New Roman" w:hint="eastAsia"/>
                <w:sz w:val="21"/>
                <w:szCs w:val="21"/>
              </w:rPr>
              <w:t>1</w:t>
            </w:r>
            <w:r>
              <w:rPr>
                <w:rFonts w:cs="Times New Roman" w:hint="eastAsia"/>
                <w:sz w:val="21"/>
                <w:szCs w:val="21"/>
              </w:rPr>
              <w:t>套</w:t>
            </w:r>
          </w:p>
        </w:tc>
      </w:tr>
    </w:tbl>
    <w:p w:rsidR="00BB4623" w:rsidRDefault="00006663">
      <w:pPr>
        <w:rPr>
          <w:rFonts w:ascii="黑体" w:eastAsia="黑体"/>
          <w:sz w:val="28"/>
          <w:szCs w:val="28"/>
        </w:rPr>
      </w:pPr>
      <w:r>
        <w:rPr>
          <w:rFonts w:ascii="黑体" w:eastAsia="黑体" w:hint="eastAsia"/>
          <w:sz w:val="28"/>
          <w:szCs w:val="28"/>
        </w:rPr>
        <w:t>二、项目总体要求</w:t>
      </w:r>
    </w:p>
    <w:tbl>
      <w:tblPr>
        <w:tblStyle w:val="a5"/>
        <w:tblW w:w="8897" w:type="dxa"/>
        <w:tblLayout w:type="fixed"/>
        <w:tblLook w:val="04A0"/>
      </w:tblPr>
      <w:tblGrid>
        <w:gridCol w:w="817"/>
        <w:gridCol w:w="1843"/>
        <w:gridCol w:w="6237"/>
      </w:tblGrid>
      <w:tr w:rsidR="00BB4623">
        <w:tc>
          <w:tcPr>
            <w:tcW w:w="817" w:type="dxa"/>
            <w:tcBorders>
              <w:righ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序号</w:t>
            </w:r>
          </w:p>
        </w:tc>
        <w:tc>
          <w:tcPr>
            <w:tcW w:w="1843" w:type="dxa"/>
            <w:tcBorders>
              <w:lef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要求</w:t>
            </w:r>
          </w:p>
        </w:tc>
        <w:tc>
          <w:tcPr>
            <w:tcW w:w="6237" w:type="dxa"/>
            <w:vAlign w:val="bottom"/>
          </w:tcPr>
          <w:p w:rsidR="00BB4623" w:rsidRDefault="00006663">
            <w:pPr>
              <w:jc w:val="left"/>
              <w:rPr>
                <w:kern w:val="0"/>
                <w:sz w:val="21"/>
                <w:szCs w:val="21"/>
                <w:lang w:val="es-AR" w:bidi="ne-NP"/>
              </w:rPr>
            </w:pPr>
            <w:r>
              <w:rPr>
                <w:rFonts w:hint="eastAsia"/>
                <w:kern w:val="0"/>
                <w:sz w:val="21"/>
                <w:szCs w:val="21"/>
                <w:lang w:val="es-AR" w:bidi="ne-NP"/>
              </w:rPr>
              <w:t>具体内容</w:t>
            </w:r>
          </w:p>
        </w:tc>
      </w:tr>
      <w:tr w:rsidR="00BB4623">
        <w:tc>
          <w:tcPr>
            <w:tcW w:w="817" w:type="dxa"/>
            <w:tcBorders>
              <w:righ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1</w:t>
            </w:r>
          </w:p>
        </w:tc>
        <w:tc>
          <w:tcPr>
            <w:tcW w:w="1843" w:type="dxa"/>
            <w:tcBorders>
              <w:lef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工期</w:t>
            </w:r>
          </w:p>
        </w:tc>
        <w:tc>
          <w:tcPr>
            <w:tcW w:w="6237" w:type="dxa"/>
            <w:vAlign w:val="bottom"/>
          </w:tcPr>
          <w:p w:rsidR="00BB4623" w:rsidRDefault="00006663">
            <w:pPr>
              <w:jc w:val="left"/>
              <w:rPr>
                <w:kern w:val="0"/>
                <w:sz w:val="21"/>
                <w:szCs w:val="21"/>
              </w:rPr>
            </w:pPr>
            <w:r>
              <w:rPr>
                <w:rFonts w:hint="eastAsia"/>
                <w:kern w:val="0"/>
                <w:sz w:val="21"/>
                <w:szCs w:val="21"/>
              </w:rPr>
              <w:t>签订合同后</w:t>
            </w:r>
            <w:r>
              <w:rPr>
                <w:kern w:val="0"/>
                <w:sz w:val="21"/>
                <w:szCs w:val="21"/>
                <w:u w:val="single"/>
              </w:rPr>
              <w:t>3</w:t>
            </w:r>
            <w:r>
              <w:rPr>
                <w:rFonts w:hint="eastAsia"/>
                <w:kern w:val="0"/>
                <w:sz w:val="21"/>
                <w:szCs w:val="21"/>
                <w:u w:val="single"/>
              </w:rPr>
              <w:t>0</w:t>
            </w:r>
            <w:r>
              <w:rPr>
                <w:rFonts w:hint="eastAsia"/>
                <w:kern w:val="0"/>
                <w:sz w:val="21"/>
                <w:szCs w:val="21"/>
              </w:rPr>
              <w:t>日内完成。</w:t>
            </w:r>
          </w:p>
        </w:tc>
      </w:tr>
      <w:tr w:rsidR="00BB4623">
        <w:tc>
          <w:tcPr>
            <w:tcW w:w="817" w:type="dxa"/>
            <w:tcBorders>
              <w:righ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2</w:t>
            </w:r>
          </w:p>
        </w:tc>
        <w:tc>
          <w:tcPr>
            <w:tcW w:w="1843" w:type="dxa"/>
            <w:tcBorders>
              <w:lef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售后服务</w:t>
            </w:r>
          </w:p>
        </w:tc>
        <w:tc>
          <w:tcPr>
            <w:tcW w:w="6237" w:type="dxa"/>
            <w:vAlign w:val="bottom"/>
          </w:tcPr>
          <w:p w:rsidR="00BB4623" w:rsidRDefault="00006663">
            <w:pPr>
              <w:jc w:val="left"/>
              <w:rPr>
                <w:kern w:val="0"/>
                <w:sz w:val="21"/>
                <w:szCs w:val="21"/>
              </w:rPr>
            </w:pPr>
            <w:r>
              <w:rPr>
                <w:rFonts w:hint="eastAsia"/>
                <w:kern w:val="0"/>
                <w:sz w:val="21"/>
                <w:szCs w:val="21"/>
              </w:rPr>
              <w:t>购买服务期限为</w:t>
            </w:r>
            <w:r>
              <w:rPr>
                <w:kern w:val="0"/>
                <w:sz w:val="21"/>
                <w:szCs w:val="21"/>
                <w:u w:val="single"/>
              </w:rPr>
              <w:t>1</w:t>
            </w:r>
            <w:r>
              <w:rPr>
                <w:rFonts w:hint="eastAsia"/>
                <w:kern w:val="0"/>
                <w:sz w:val="21"/>
                <w:szCs w:val="21"/>
              </w:rPr>
              <w:t>年，同样所提供的售后服务期限为</w:t>
            </w:r>
            <w:r>
              <w:rPr>
                <w:kern w:val="0"/>
                <w:sz w:val="21"/>
                <w:szCs w:val="21"/>
                <w:u w:val="single"/>
              </w:rPr>
              <w:t>1</w:t>
            </w:r>
            <w:r>
              <w:rPr>
                <w:rFonts w:hint="eastAsia"/>
                <w:kern w:val="0"/>
                <w:sz w:val="21"/>
                <w:szCs w:val="21"/>
              </w:rPr>
              <w:t>年。</w:t>
            </w:r>
          </w:p>
        </w:tc>
      </w:tr>
      <w:tr w:rsidR="00BB4623">
        <w:tc>
          <w:tcPr>
            <w:tcW w:w="817" w:type="dxa"/>
            <w:tcBorders>
              <w:righ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3</w:t>
            </w:r>
          </w:p>
        </w:tc>
        <w:tc>
          <w:tcPr>
            <w:tcW w:w="1843" w:type="dxa"/>
            <w:tcBorders>
              <w:left w:val="single" w:sz="4" w:space="0" w:color="auto"/>
            </w:tcBorders>
            <w:vAlign w:val="center"/>
          </w:tcPr>
          <w:p w:rsidR="00BB4623" w:rsidRDefault="00006663">
            <w:pPr>
              <w:jc w:val="center"/>
              <w:rPr>
                <w:kern w:val="0"/>
                <w:sz w:val="21"/>
                <w:szCs w:val="21"/>
                <w:lang w:val="es-AR" w:bidi="ne-NP"/>
              </w:rPr>
            </w:pPr>
            <w:r>
              <w:rPr>
                <w:rFonts w:hint="eastAsia"/>
                <w:kern w:val="0"/>
                <w:sz w:val="21"/>
                <w:szCs w:val="21"/>
                <w:lang w:val="es-AR" w:bidi="ne-NP"/>
              </w:rPr>
              <w:t>培训</w:t>
            </w:r>
          </w:p>
        </w:tc>
        <w:tc>
          <w:tcPr>
            <w:tcW w:w="6237" w:type="dxa"/>
            <w:vAlign w:val="bottom"/>
          </w:tcPr>
          <w:p w:rsidR="00BB4623" w:rsidRDefault="00006663">
            <w:pPr>
              <w:jc w:val="left"/>
              <w:rPr>
                <w:kern w:val="0"/>
                <w:sz w:val="21"/>
                <w:szCs w:val="21"/>
              </w:rPr>
            </w:pPr>
            <w:r>
              <w:rPr>
                <w:rFonts w:hint="eastAsia"/>
                <w:kern w:val="0"/>
                <w:sz w:val="21"/>
                <w:szCs w:val="21"/>
              </w:rPr>
              <w:t>对维护人员进行</w:t>
            </w:r>
            <w:r>
              <w:rPr>
                <w:kern w:val="0"/>
                <w:sz w:val="21"/>
                <w:szCs w:val="21"/>
                <w:u w:val="single"/>
              </w:rPr>
              <w:t>1</w:t>
            </w:r>
            <w:r>
              <w:rPr>
                <w:rFonts w:hint="eastAsia"/>
                <w:kern w:val="0"/>
                <w:sz w:val="21"/>
                <w:szCs w:val="21"/>
              </w:rPr>
              <w:t>轮现场培训。</w:t>
            </w:r>
          </w:p>
        </w:tc>
      </w:tr>
    </w:tbl>
    <w:p w:rsidR="00BB4623" w:rsidRDefault="00006663">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1301"/>
        <w:gridCol w:w="6662"/>
      </w:tblGrid>
      <w:tr w:rsidR="00BB4623">
        <w:trPr>
          <w:trHeight w:val="147"/>
        </w:trPr>
        <w:tc>
          <w:tcPr>
            <w:tcW w:w="934" w:type="dxa"/>
            <w:tcBorders>
              <w:top w:val="single" w:sz="4" w:space="0" w:color="auto"/>
              <w:left w:val="single" w:sz="4" w:space="0" w:color="auto"/>
              <w:bottom w:val="single" w:sz="4" w:space="0" w:color="auto"/>
              <w:right w:val="single" w:sz="4" w:space="0" w:color="auto"/>
            </w:tcBorders>
          </w:tcPr>
          <w:p w:rsidR="00BB4623" w:rsidRDefault="00006663">
            <w:pPr>
              <w:spacing w:line="240" w:lineRule="auto"/>
              <w:ind w:left="108"/>
              <w:jc w:val="center"/>
              <w:rPr>
                <w:b/>
                <w:bCs/>
                <w:kern w:val="0"/>
                <w:sz w:val="21"/>
                <w:szCs w:val="21"/>
                <w:lang w:bidi="ne-NP"/>
              </w:rPr>
            </w:pPr>
            <w:r>
              <w:rPr>
                <w:rFonts w:hint="eastAsia"/>
                <w:b/>
                <w:bCs/>
                <w:kern w:val="0"/>
                <w:sz w:val="21"/>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ind w:left="108"/>
              <w:jc w:val="center"/>
              <w:rPr>
                <w:b/>
                <w:bCs/>
                <w:kern w:val="0"/>
                <w:sz w:val="21"/>
                <w:szCs w:val="21"/>
                <w:lang w:bidi="ne-NP"/>
              </w:rPr>
            </w:pPr>
            <w:r>
              <w:rPr>
                <w:rFonts w:hint="eastAsia"/>
                <w:b/>
                <w:bCs/>
                <w:kern w:val="0"/>
                <w:sz w:val="21"/>
                <w:szCs w:val="21"/>
                <w:lang w:bidi="ne-NP"/>
              </w:rPr>
              <w:t>功能</w:t>
            </w:r>
            <w:r>
              <w:rPr>
                <w:rFonts w:hint="eastAsia"/>
                <w:b/>
                <w:bCs/>
                <w:kern w:val="0"/>
                <w:sz w:val="21"/>
                <w:szCs w:val="21"/>
                <w:lang w:bidi="ne-NP"/>
              </w:rPr>
              <w:t>/</w:t>
            </w:r>
            <w:r>
              <w:rPr>
                <w:rFonts w:hint="eastAsia"/>
                <w:b/>
                <w:bCs/>
                <w:kern w:val="0"/>
                <w:sz w:val="21"/>
                <w:szCs w:val="21"/>
                <w:lang w:bidi="ne-NP"/>
              </w:rPr>
              <w:t>性能</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ind w:left="108"/>
              <w:jc w:val="center"/>
              <w:rPr>
                <w:b/>
                <w:bCs/>
                <w:kern w:val="0"/>
                <w:sz w:val="21"/>
                <w:szCs w:val="21"/>
                <w:lang w:bidi="ne-NP"/>
              </w:rPr>
            </w:pPr>
            <w:r>
              <w:rPr>
                <w:rFonts w:hint="eastAsia"/>
                <w:b/>
                <w:bCs/>
                <w:kern w:val="0"/>
                <w:sz w:val="21"/>
                <w:szCs w:val="21"/>
                <w:lang w:bidi="ne-NP"/>
              </w:rPr>
              <w:t>具体要求</w:t>
            </w:r>
          </w:p>
        </w:tc>
      </w:tr>
      <w:tr w:rsidR="00BB4623">
        <w:trPr>
          <w:trHeight w:val="147"/>
        </w:trPr>
        <w:tc>
          <w:tcPr>
            <w:tcW w:w="934" w:type="dxa"/>
            <w:tcBorders>
              <w:top w:val="single" w:sz="4" w:space="0" w:color="auto"/>
              <w:left w:val="single" w:sz="4" w:space="0" w:color="auto"/>
              <w:right w:val="single" w:sz="4" w:space="0" w:color="auto"/>
            </w:tcBorders>
            <w:vAlign w:val="center"/>
          </w:tcPr>
          <w:p w:rsidR="00BB4623" w:rsidRDefault="00006663">
            <w:pPr>
              <w:jc w:val="center"/>
              <w:rPr>
                <w:sz w:val="21"/>
                <w:szCs w:val="21"/>
                <w:lang w:val="es-AR" w:bidi="ne-NP"/>
              </w:rPr>
            </w:pPr>
            <w:r>
              <w:rPr>
                <w:rFonts w:hint="eastAsia"/>
                <w:sz w:val="21"/>
                <w:szCs w:val="21"/>
                <w:lang w:val="es-AR" w:bidi="ne-NP"/>
              </w:rPr>
              <w:t>1</w:t>
            </w:r>
          </w:p>
        </w:tc>
        <w:tc>
          <w:tcPr>
            <w:tcW w:w="1301" w:type="dxa"/>
            <w:tcBorders>
              <w:top w:val="single" w:sz="4" w:space="0" w:color="auto"/>
              <w:left w:val="single" w:sz="4" w:space="0" w:color="auto"/>
              <w:right w:val="single" w:sz="4" w:space="0" w:color="auto"/>
            </w:tcBorders>
            <w:vAlign w:val="center"/>
          </w:tcPr>
          <w:p w:rsidR="00BB4623" w:rsidRDefault="00006663">
            <w:pPr>
              <w:jc w:val="center"/>
              <w:rPr>
                <w:b/>
                <w:bCs/>
                <w:kern w:val="0"/>
                <w:sz w:val="21"/>
                <w:szCs w:val="21"/>
              </w:rPr>
            </w:pPr>
            <w:r>
              <w:rPr>
                <w:rFonts w:hint="eastAsia"/>
                <w:b/>
                <w:bCs/>
                <w:kern w:val="0"/>
                <w:sz w:val="21"/>
                <w:szCs w:val="21"/>
              </w:rPr>
              <w:t>系统要求</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jc w:val="left"/>
              <w:rPr>
                <w:sz w:val="21"/>
                <w:szCs w:val="21"/>
                <w:lang w:val="es-AR" w:bidi="ne-NP"/>
              </w:rPr>
            </w:pPr>
            <w:r>
              <w:rPr>
                <w:sz w:val="21"/>
                <w:szCs w:val="21"/>
                <w:lang w:val="es-AR" w:bidi="ne-NP"/>
              </w:rPr>
              <w:t>系统基于</w:t>
            </w:r>
            <w:r>
              <w:rPr>
                <w:rFonts w:hint="eastAsia"/>
                <w:sz w:val="21"/>
                <w:szCs w:val="21"/>
                <w:lang w:val="es-AR" w:bidi="ne-NP"/>
              </w:rPr>
              <w:t>B/S</w:t>
            </w:r>
            <w:r>
              <w:rPr>
                <w:rFonts w:hint="eastAsia"/>
                <w:sz w:val="21"/>
                <w:szCs w:val="21"/>
                <w:lang w:val="es-AR" w:bidi="ne-NP"/>
              </w:rPr>
              <w:t>架构，院内无需配置服务器，终端只需配置电脑连接网络访问服务器端；</w:t>
            </w:r>
          </w:p>
          <w:p w:rsidR="00BB4623" w:rsidRDefault="00006663">
            <w:pPr>
              <w:rPr>
                <w:sz w:val="21"/>
                <w:szCs w:val="21"/>
                <w:lang w:val="es-AR" w:bidi="ne-NP"/>
              </w:rPr>
            </w:pPr>
            <w:r>
              <w:rPr>
                <w:rFonts w:hint="eastAsia"/>
                <w:sz w:val="21"/>
                <w:szCs w:val="21"/>
                <w:lang w:val="es-AR" w:bidi="ne-NP"/>
              </w:rPr>
              <w:t>支持</w:t>
            </w:r>
            <w:r>
              <w:rPr>
                <w:sz w:val="21"/>
                <w:szCs w:val="21"/>
                <w:lang w:val="es-AR" w:bidi="ne-NP"/>
              </w:rPr>
              <w:t>FIREFOX</w:t>
            </w:r>
            <w:r>
              <w:rPr>
                <w:sz w:val="21"/>
                <w:szCs w:val="21"/>
                <w:lang w:val="es-AR" w:bidi="ne-NP"/>
              </w:rPr>
              <w:t>、</w:t>
            </w:r>
            <w:r>
              <w:rPr>
                <w:sz w:val="21"/>
                <w:szCs w:val="21"/>
                <w:lang w:val="es-AR" w:bidi="ne-NP"/>
              </w:rPr>
              <w:t>CHROME</w:t>
            </w:r>
            <w:r>
              <w:rPr>
                <w:rFonts w:hint="eastAsia"/>
                <w:sz w:val="21"/>
                <w:szCs w:val="21"/>
                <w:lang w:val="es-AR" w:bidi="ne-NP"/>
              </w:rPr>
              <w:t>、</w:t>
            </w:r>
            <w:r>
              <w:rPr>
                <w:rFonts w:hint="eastAsia"/>
                <w:sz w:val="21"/>
                <w:szCs w:val="21"/>
                <w:lang w:val="es-AR" w:bidi="ne-NP"/>
              </w:rPr>
              <w:t>IE</w:t>
            </w:r>
            <w:r>
              <w:rPr>
                <w:sz w:val="21"/>
                <w:szCs w:val="21"/>
                <w:lang w:val="es-AR" w:bidi="ne-NP"/>
              </w:rPr>
              <w:t>等多种浏览器访问</w:t>
            </w:r>
            <w:r>
              <w:rPr>
                <w:rFonts w:hint="eastAsia"/>
                <w:sz w:val="21"/>
                <w:szCs w:val="21"/>
                <w:lang w:val="es-AR" w:bidi="ne-NP"/>
              </w:rPr>
              <w:t>；</w:t>
            </w:r>
          </w:p>
          <w:p w:rsidR="00BB4623" w:rsidRDefault="00006663">
            <w:pPr>
              <w:rPr>
                <w:sz w:val="21"/>
                <w:szCs w:val="21"/>
                <w:lang w:val="es-AR" w:bidi="ne-NP"/>
              </w:rPr>
            </w:pPr>
            <w:r>
              <w:rPr>
                <w:rFonts w:hint="eastAsia"/>
                <w:sz w:val="21"/>
                <w:szCs w:val="21"/>
                <w:lang w:val="es-AR" w:bidi="ne-NP"/>
              </w:rPr>
              <w:t>登录模式：用户名及密码登录。</w:t>
            </w:r>
          </w:p>
        </w:tc>
      </w:tr>
      <w:tr w:rsidR="00BB4623" w:rsidRPr="00125C4F">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rFonts w:hint="eastAsia"/>
                <w:sz w:val="21"/>
                <w:szCs w:val="21"/>
                <w:lang w:val="es-AR" w:bidi="ne-NP"/>
              </w:rPr>
              <w:t>2</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b/>
                <w:bCs/>
                <w:sz w:val="21"/>
                <w:szCs w:val="21"/>
                <w:lang w:val="es-AR" w:bidi="ne-NP"/>
              </w:rPr>
            </w:pPr>
            <w:r>
              <w:rPr>
                <w:rFonts w:hint="eastAsia"/>
                <w:b/>
                <w:bCs/>
                <w:sz w:val="21"/>
                <w:szCs w:val="21"/>
                <w:lang w:val="es-AR" w:bidi="ne-NP"/>
              </w:rPr>
              <w:t>性能要求</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rFonts w:hint="eastAsia"/>
                <w:sz w:val="21"/>
                <w:szCs w:val="21"/>
                <w:lang w:val="es-AR" w:bidi="ne-NP"/>
              </w:rPr>
              <w:t>客户端电脑</w:t>
            </w:r>
            <w:r>
              <w:rPr>
                <w:rFonts w:hint="eastAsia"/>
                <w:sz w:val="21"/>
                <w:szCs w:val="21"/>
                <w:lang w:val="es-AR" w:bidi="ne-NP"/>
              </w:rPr>
              <w:t>:CPU</w:t>
            </w:r>
            <w:r>
              <w:rPr>
                <w:rFonts w:hint="eastAsia"/>
                <w:sz w:val="21"/>
                <w:szCs w:val="21"/>
                <w:lang w:val="es-AR" w:bidi="ne-NP"/>
              </w:rPr>
              <w:t>：</w:t>
            </w:r>
            <w:r>
              <w:rPr>
                <w:sz w:val="21"/>
                <w:szCs w:val="21"/>
                <w:lang w:val="es-AR" w:bidi="ne-NP"/>
              </w:rPr>
              <w:t>Corei5</w:t>
            </w:r>
            <w:r>
              <w:rPr>
                <w:sz w:val="21"/>
                <w:szCs w:val="21"/>
                <w:lang w:val="es-AR" w:bidi="ne-NP"/>
              </w:rPr>
              <w:t>及以上</w:t>
            </w:r>
            <w:r>
              <w:rPr>
                <w:rFonts w:hint="eastAsia"/>
                <w:sz w:val="21"/>
                <w:szCs w:val="21"/>
                <w:lang w:val="es-AR" w:bidi="ne-NP"/>
              </w:rPr>
              <w:t>，</w:t>
            </w:r>
            <w:r>
              <w:rPr>
                <w:sz w:val="21"/>
                <w:szCs w:val="21"/>
                <w:lang w:val="es-AR" w:bidi="ne-NP"/>
              </w:rPr>
              <w:t>内存</w:t>
            </w:r>
            <w:r>
              <w:rPr>
                <w:rFonts w:hint="eastAsia"/>
                <w:sz w:val="21"/>
                <w:szCs w:val="21"/>
                <w:lang w:val="es-AR" w:bidi="ne-NP"/>
              </w:rPr>
              <w:t>：</w:t>
            </w:r>
            <w:r>
              <w:rPr>
                <w:rFonts w:hint="eastAsia"/>
                <w:sz w:val="21"/>
                <w:szCs w:val="21"/>
                <w:lang w:val="es-AR" w:bidi="ne-NP"/>
              </w:rPr>
              <w:t>8G</w:t>
            </w:r>
            <w:r>
              <w:rPr>
                <w:rFonts w:hint="eastAsia"/>
                <w:sz w:val="21"/>
                <w:szCs w:val="21"/>
                <w:lang w:val="es-AR" w:bidi="ne-NP"/>
              </w:rPr>
              <w:t>或以上，硬盘：</w:t>
            </w:r>
            <w:r>
              <w:rPr>
                <w:rFonts w:hint="eastAsia"/>
                <w:sz w:val="21"/>
                <w:szCs w:val="21"/>
                <w:lang w:val="es-AR" w:bidi="ne-NP"/>
              </w:rPr>
              <w:t>1T</w:t>
            </w:r>
            <w:r>
              <w:rPr>
                <w:rFonts w:hint="eastAsia"/>
                <w:sz w:val="21"/>
                <w:szCs w:val="21"/>
                <w:lang w:val="es-AR" w:bidi="ne-NP"/>
              </w:rPr>
              <w:t>或以上</w:t>
            </w:r>
            <w:r>
              <w:rPr>
                <w:rFonts w:hint="eastAsia"/>
                <w:sz w:val="21"/>
                <w:szCs w:val="21"/>
                <w:lang w:val="es-AR" w:bidi="ne-NP"/>
              </w:rPr>
              <w:t>,</w:t>
            </w:r>
            <w:r>
              <w:rPr>
                <w:rFonts w:hint="eastAsia"/>
                <w:sz w:val="21"/>
                <w:szCs w:val="21"/>
                <w:lang w:val="es-AR" w:bidi="ne-NP"/>
              </w:rPr>
              <w:t>显示屏：</w:t>
            </w:r>
            <w:r>
              <w:rPr>
                <w:rFonts w:hint="eastAsia"/>
                <w:sz w:val="21"/>
                <w:szCs w:val="21"/>
                <w:lang w:val="es-AR" w:bidi="ne-NP"/>
              </w:rPr>
              <w:t>21</w:t>
            </w:r>
            <w:r>
              <w:rPr>
                <w:rFonts w:hint="eastAsia"/>
                <w:sz w:val="21"/>
                <w:szCs w:val="21"/>
                <w:lang w:val="es-AR" w:bidi="ne-NP"/>
              </w:rPr>
              <w:t>寸及以上</w:t>
            </w:r>
            <w:r>
              <w:rPr>
                <w:rFonts w:hint="eastAsia"/>
                <w:sz w:val="21"/>
                <w:szCs w:val="21"/>
                <w:lang w:val="es-AR" w:bidi="ne-NP"/>
              </w:rPr>
              <w:t>,</w:t>
            </w:r>
            <w:r>
              <w:rPr>
                <w:rFonts w:hint="eastAsia"/>
                <w:sz w:val="21"/>
                <w:szCs w:val="21"/>
                <w:lang w:val="es-AR" w:bidi="ne-NP"/>
              </w:rPr>
              <w:t>双网卡；</w:t>
            </w:r>
          </w:p>
          <w:p w:rsidR="00BB4623" w:rsidRDefault="00006663">
            <w:pPr>
              <w:rPr>
                <w:sz w:val="21"/>
                <w:szCs w:val="21"/>
                <w:lang w:val="es-AR" w:bidi="ne-NP"/>
              </w:rPr>
            </w:pPr>
            <w:r>
              <w:rPr>
                <w:rFonts w:hint="eastAsia"/>
                <w:sz w:val="21"/>
                <w:szCs w:val="21"/>
                <w:lang w:val="es-AR" w:bidi="ne-NP"/>
              </w:rPr>
              <w:t>打印机：性能不低于</w:t>
            </w:r>
            <w:r>
              <w:rPr>
                <w:rFonts w:hint="eastAsia"/>
                <w:sz w:val="21"/>
                <w:szCs w:val="21"/>
                <w:lang w:val="es-AR" w:bidi="ne-NP"/>
              </w:rPr>
              <w:t>canon</w:t>
            </w:r>
            <w:r>
              <w:rPr>
                <w:sz w:val="21"/>
                <w:szCs w:val="21"/>
                <w:lang w:val="es-AR" w:bidi="ne-NP"/>
              </w:rPr>
              <w:t xml:space="preserve"> LBP2900</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rFonts w:hint="eastAsia"/>
                <w:kern w:val="0"/>
                <w:sz w:val="21"/>
                <w:szCs w:val="21"/>
              </w:rPr>
              <w:t>3</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rFonts w:cs="Times New Roman"/>
                <w:b/>
                <w:bCs/>
                <w:sz w:val="21"/>
                <w:szCs w:val="21"/>
              </w:rPr>
            </w:pPr>
            <w:r>
              <w:rPr>
                <w:rFonts w:hint="eastAsia"/>
                <w:b/>
                <w:bCs/>
                <w:sz w:val="21"/>
                <w:szCs w:val="21"/>
              </w:rPr>
              <w:t>智能学习</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rFonts w:hint="eastAsia"/>
                <w:sz w:val="21"/>
                <w:szCs w:val="21"/>
                <w:lang w:val="es-AR" w:bidi="ne-NP"/>
              </w:rPr>
              <w:t>*</w:t>
            </w:r>
            <w:r>
              <w:rPr>
                <w:rFonts w:hint="eastAsia"/>
                <w:sz w:val="21"/>
                <w:szCs w:val="21"/>
                <w:lang w:val="es-AR" w:bidi="ne-NP"/>
              </w:rPr>
              <w:t>具备计算机系统的认知能力，具备机器学习的能力，将人工智能的服务内容传递给本院临床医生，以此作为临床治疗的重要参考依据；</w:t>
            </w:r>
          </w:p>
          <w:p w:rsidR="00BB4623" w:rsidRDefault="00006663">
            <w:pPr>
              <w:rPr>
                <w:sz w:val="21"/>
                <w:szCs w:val="21"/>
              </w:rPr>
            </w:pPr>
            <w:r>
              <w:rPr>
                <w:sz w:val="21"/>
                <w:szCs w:val="21"/>
                <w:lang w:val="es-AR" w:bidi="ne-NP"/>
              </w:rPr>
              <w:t>学习</w:t>
            </w:r>
            <w:r>
              <w:rPr>
                <w:sz w:val="21"/>
                <w:szCs w:val="21"/>
                <w:lang w:val="es-AR" w:bidi="ne-NP"/>
              </w:rPr>
              <w:t>300</w:t>
            </w:r>
            <w:r>
              <w:rPr>
                <w:sz w:val="21"/>
                <w:szCs w:val="21"/>
                <w:lang w:val="es-AR" w:bidi="ne-NP"/>
              </w:rPr>
              <w:t>种以上相关的医学期刊，</w:t>
            </w:r>
            <w:r>
              <w:rPr>
                <w:sz w:val="21"/>
                <w:szCs w:val="21"/>
                <w:lang w:val="es-AR" w:bidi="ne-NP"/>
              </w:rPr>
              <w:t>250</w:t>
            </w:r>
            <w:r>
              <w:rPr>
                <w:sz w:val="21"/>
                <w:szCs w:val="21"/>
                <w:lang w:val="es-AR" w:bidi="ne-NP"/>
              </w:rPr>
              <w:t>本以上的医学书籍，</w:t>
            </w:r>
            <w:r>
              <w:rPr>
                <w:sz w:val="21"/>
                <w:szCs w:val="21"/>
                <w:lang w:val="es-AR" w:bidi="ne-NP"/>
              </w:rPr>
              <w:t>1500</w:t>
            </w:r>
            <w:r>
              <w:rPr>
                <w:sz w:val="21"/>
                <w:szCs w:val="21"/>
                <w:lang w:val="es-AR" w:bidi="ne-NP"/>
              </w:rPr>
              <w:t>万页论文数据研究，由顶尖肿瘤医师团队训练而成的。</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rFonts w:hint="eastAsia"/>
                <w:kern w:val="0"/>
                <w:sz w:val="21"/>
                <w:szCs w:val="21"/>
              </w:rPr>
              <w:t>4</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rFonts w:cs="Times New Roman"/>
                <w:b/>
                <w:bCs/>
                <w:sz w:val="21"/>
                <w:szCs w:val="21"/>
              </w:rPr>
            </w:pPr>
            <w:r>
              <w:rPr>
                <w:rFonts w:hint="eastAsia"/>
                <w:b/>
                <w:bCs/>
                <w:sz w:val="21"/>
                <w:szCs w:val="21"/>
                <w:lang w:val="es-AR" w:bidi="ne-NP"/>
              </w:rPr>
              <w:t>肿瘤诊疗方案</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rFonts w:hint="eastAsia"/>
                <w:sz w:val="21"/>
                <w:szCs w:val="21"/>
                <w:lang w:val="es-AR" w:bidi="ne-NP"/>
              </w:rPr>
              <w:t>*</w:t>
            </w:r>
            <w:r>
              <w:rPr>
                <w:rFonts w:hint="eastAsia"/>
                <w:sz w:val="21"/>
                <w:szCs w:val="21"/>
                <w:lang w:val="es-AR" w:bidi="ne-NP"/>
              </w:rPr>
              <w:t>具有全球领先并且符合规范的肿瘤诊疗方案，至少支持结肠癌、直肠癌、乳腺癌、肺癌、胃癌、宫颈癌、卵巢癌、膀胱癌、子宫内膜癌、食管癌、肝癌、前列腺癌、甲状腺癌的辅助诊疗，并且随着智能系统研究的进展病种会持续更新、增加；</w:t>
            </w:r>
          </w:p>
          <w:p w:rsidR="00BB4623" w:rsidRDefault="00006663">
            <w:pPr>
              <w:rPr>
                <w:sz w:val="21"/>
                <w:szCs w:val="21"/>
                <w:lang w:val="es-AR" w:bidi="ne-NP"/>
              </w:rPr>
            </w:pPr>
            <w:r>
              <w:rPr>
                <w:sz w:val="21"/>
                <w:szCs w:val="21"/>
                <w:lang w:val="es-AR" w:bidi="ne-NP"/>
              </w:rPr>
              <w:t>提供世界顶级肿瘤医生团队的接近的治疗方案或建议供临床作为参考，</w:t>
            </w:r>
            <w:r>
              <w:rPr>
                <w:sz w:val="21"/>
                <w:szCs w:val="21"/>
                <w:lang w:val="es-AR" w:bidi="ne-NP"/>
              </w:rPr>
              <w:lastRenderedPageBreak/>
              <w:t>治疗方案是以循证为基础的，实时更新的以患者为中心的个性化的治疗方案。</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kern w:val="0"/>
                <w:sz w:val="21"/>
                <w:szCs w:val="21"/>
              </w:rPr>
              <w:lastRenderedPageBreak/>
              <w:t>5</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参考工具</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能够提供有循证依据的治疗建议，为医生制定治疗策略提供参考，简化临床决策流程</w:t>
            </w:r>
            <w:r>
              <w:rPr>
                <w:rFonts w:hint="eastAsia"/>
                <w:sz w:val="21"/>
                <w:szCs w:val="21"/>
                <w:lang w:val="es-AR" w:bidi="ne-NP"/>
              </w:rPr>
              <w:t>；</w:t>
            </w:r>
          </w:p>
          <w:p w:rsidR="00BB4623" w:rsidRDefault="00006663">
            <w:pPr>
              <w:rPr>
                <w:sz w:val="21"/>
                <w:szCs w:val="21"/>
                <w:lang w:val="es-AR" w:bidi="ne-NP"/>
              </w:rPr>
            </w:pPr>
            <w:r>
              <w:rPr>
                <w:sz w:val="21"/>
                <w:szCs w:val="21"/>
                <w:lang w:val="es-AR" w:bidi="ne-NP"/>
              </w:rPr>
              <w:t>覆盖</w:t>
            </w:r>
            <w:r>
              <w:rPr>
                <w:sz w:val="21"/>
                <w:szCs w:val="21"/>
                <w:lang w:val="es-AR" w:bidi="ne-NP"/>
              </w:rPr>
              <w:t>13</w:t>
            </w:r>
            <w:r>
              <w:rPr>
                <w:sz w:val="21"/>
                <w:szCs w:val="21"/>
                <w:lang w:val="es-AR" w:bidi="ne-NP"/>
              </w:rPr>
              <w:t>个癌种，包括乳腺癌、肺癌</w:t>
            </w:r>
            <w:r>
              <w:rPr>
                <w:sz w:val="21"/>
                <w:szCs w:val="21"/>
                <w:lang w:val="es-AR" w:bidi="ne-NP"/>
              </w:rPr>
              <w:t xml:space="preserve"> </w:t>
            </w:r>
            <w:r>
              <w:rPr>
                <w:sz w:val="21"/>
                <w:szCs w:val="21"/>
                <w:lang w:val="es-AR" w:bidi="ne-NP"/>
              </w:rPr>
              <w:t>、结肠癌、直肠癌、胃癌</w:t>
            </w:r>
            <w:r>
              <w:rPr>
                <w:sz w:val="21"/>
                <w:szCs w:val="21"/>
                <w:lang w:val="es-AR" w:bidi="ne-NP"/>
              </w:rPr>
              <w:t xml:space="preserve"> </w:t>
            </w:r>
            <w:r>
              <w:rPr>
                <w:sz w:val="21"/>
                <w:szCs w:val="21"/>
                <w:lang w:val="es-AR" w:bidi="ne-NP"/>
              </w:rPr>
              <w:t>、宫颈癌</w:t>
            </w:r>
            <w:r>
              <w:rPr>
                <w:sz w:val="21"/>
                <w:szCs w:val="21"/>
                <w:lang w:val="es-AR" w:bidi="ne-NP"/>
              </w:rPr>
              <w:t xml:space="preserve"> </w:t>
            </w:r>
            <w:r>
              <w:rPr>
                <w:sz w:val="21"/>
                <w:szCs w:val="21"/>
                <w:lang w:val="es-AR" w:bidi="ne-NP"/>
              </w:rPr>
              <w:t>、卵巢癌、前列腺癌、膀胱癌、甲状腺癌、肝癌、子宫内膜癌、食管癌。可以帮助临床医生在多个癌种上</w:t>
            </w:r>
            <w:r>
              <w:rPr>
                <w:sz w:val="21"/>
                <w:szCs w:val="21"/>
                <w:lang w:val="es-AR" w:bidi="ne-NP"/>
              </w:rPr>
              <w:t>,</w:t>
            </w:r>
            <w:r>
              <w:rPr>
                <w:sz w:val="21"/>
                <w:szCs w:val="21"/>
                <w:lang w:val="es-AR" w:bidi="ne-NP"/>
              </w:rPr>
              <w:t>尤其是自己所不擅长的癌种确定治疗决策，提高决策信心和效率</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kern w:val="0"/>
                <w:sz w:val="21"/>
                <w:szCs w:val="21"/>
              </w:rPr>
              <w:t>6</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教学工具</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治疗方案建议以循证为基础，详细提供方案背后的循证支持和药物信息等</w:t>
            </w:r>
            <w:r>
              <w:rPr>
                <w:rFonts w:hint="eastAsia"/>
                <w:sz w:val="21"/>
                <w:szCs w:val="21"/>
                <w:lang w:val="es-AR" w:bidi="ne-NP"/>
              </w:rPr>
              <w:t>；</w:t>
            </w:r>
          </w:p>
          <w:p w:rsidR="00BB4623" w:rsidRDefault="00006663">
            <w:pPr>
              <w:rPr>
                <w:sz w:val="21"/>
                <w:szCs w:val="21"/>
                <w:lang w:val="es-AR" w:bidi="ne-NP"/>
              </w:rPr>
            </w:pPr>
            <w:r>
              <w:rPr>
                <w:sz w:val="21"/>
                <w:szCs w:val="21"/>
                <w:lang w:val="es-AR" w:bidi="ne-NP"/>
              </w:rPr>
              <w:t>可以作为教学工具，通过标准病例对年轻医生进行教学指导，高效、规范地辅助教学</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kern w:val="0"/>
                <w:sz w:val="21"/>
                <w:szCs w:val="21"/>
              </w:rPr>
              <w:t>7</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学习工具</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全面、准确的提供方案背后的循证支持，加速医生学习成长</w:t>
            </w:r>
            <w:r>
              <w:rPr>
                <w:rFonts w:hint="eastAsia"/>
                <w:sz w:val="21"/>
                <w:szCs w:val="21"/>
                <w:lang w:val="es-AR" w:bidi="ne-NP"/>
              </w:rPr>
              <w:t>；</w:t>
            </w:r>
          </w:p>
          <w:p w:rsidR="00BB4623" w:rsidRDefault="00006663">
            <w:pPr>
              <w:rPr>
                <w:sz w:val="21"/>
                <w:szCs w:val="21"/>
                <w:lang w:val="es-AR" w:bidi="ne-NP"/>
              </w:rPr>
            </w:pPr>
            <w:r>
              <w:rPr>
                <w:sz w:val="21"/>
                <w:szCs w:val="21"/>
                <w:lang w:val="es-AR" w:bidi="ne-NP"/>
              </w:rPr>
              <w:t>科室通过筛选典型病例，生成标准病例库，医生可以反复查看病例临床信息和治疗方案建议，学习方案背后的循证支持</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rFonts w:hint="eastAsia"/>
                <w:kern w:val="0"/>
                <w:sz w:val="21"/>
                <w:szCs w:val="21"/>
              </w:rPr>
              <w:t>8</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第二意见</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基于</w:t>
            </w:r>
            <w:r>
              <w:rPr>
                <w:sz w:val="21"/>
                <w:szCs w:val="21"/>
                <w:lang w:val="es-AR" w:bidi="ne-NP"/>
              </w:rPr>
              <w:t>MSK</w:t>
            </w:r>
            <w:r>
              <w:rPr>
                <w:sz w:val="21"/>
                <w:szCs w:val="21"/>
                <w:lang w:val="es-AR" w:bidi="ne-NP"/>
              </w:rPr>
              <w:t>决策流程给予标准化治疗建议，给寻找治疗方案的患者提供参考，帮助患者在第一时间获得规范化的治疗建议</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rFonts w:hint="eastAsia"/>
                <w:kern w:val="0"/>
                <w:sz w:val="21"/>
                <w:szCs w:val="21"/>
              </w:rPr>
              <w:t>9</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多学科会诊（</w:t>
            </w:r>
            <w:r>
              <w:rPr>
                <w:b/>
                <w:bCs/>
                <w:sz w:val="21"/>
                <w:szCs w:val="21"/>
                <w:lang w:val="es-AR" w:bidi="ne-NP"/>
              </w:rPr>
              <w:t>MDT</w:t>
            </w:r>
            <w:r>
              <w:rPr>
                <w:b/>
                <w:bCs/>
                <w:sz w:val="21"/>
                <w:szCs w:val="21"/>
                <w:lang w:val="es-AR" w:bidi="ne-NP"/>
              </w:rPr>
              <w:t>）</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能够客观公正的依据循证支持提供建议，整合多学科学术进展，提供专业的治疗意见，决策时不受非技术因素影响，避免人物因素影响，提供标准化、数字化的结果参与</w:t>
            </w:r>
            <w:r>
              <w:rPr>
                <w:sz w:val="21"/>
                <w:szCs w:val="21"/>
                <w:lang w:val="es-AR" w:bidi="ne-NP"/>
              </w:rPr>
              <w:t>MDT</w:t>
            </w:r>
            <w:r>
              <w:rPr>
                <w:sz w:val="21"/>
                <w:szCs w:val="21"/>
                <w:lang w:val="es-AR" w:bidi="ne-NP"/>
              </w:rPr>
              <w:t>讨论，使会诊更易达成一致结果，提高</w:t>
            </w:r>
            <w:r>
              <w:rPr>
                <w:sz w:val="21"/>
                <w:szCs w:val="21"/>
                <w:lang w:val="es-AR" w:bidi="ne-NP"/>
              </w:rPr>
              <w:t>MDT</w:t>
            </w:r>
            <w:r>
              <w:rPr>
                <w:sz w:val="21"/>
                <w:szCs w:val="21"/>
                <w:lang w:val="es-AR" w:bidi="ne-NP"/>
              </w:rPr>
              <w:t>效率</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rFonts w:hint="eastAsia"/>
                <w:kern w:val="0"/>
                <w:sz w:val="21"/>
                <w:szCs w:val="21"/>
              </w:rPr>
              <w:t>1</w:t>
            </w:r>
            <w:r>
              <w:rPr>
                <w:kern w:val="0"/>
                <w:sz w:val="21"/>
                <w:szCs w:val="21"/>
              </w:rPr>
              <w:t>0</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质控工具</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提供的治疗方案建议遵循循证，可以作为科室、医院、医联体、政府等的规范化治疗的质量控制工具，提高区域规范化治疗的综合水平</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kern w:val="0"/>
                <w:sz w:val="21"/>
                <w:szCs w:val="21"/>
              </w:rPr>
            </w:pPr>
            <w:r>
              <w:rPr>
                <w:rFonts w:hint="eastAsia"/>
                <w:kern w:val="0"/>
                <w:sz w:val="21"/>
                <w:szCs w:val="21"/>
              </w:rPr>
              <w:t>1</w:t>
            </w:r>
            <w:r>
              <w:rPr>
                <w:kern w:val="0"/>
                <w:sz w:val="21"/>
                <w:szCs w:val="21"/>
              </w:rPr>
              <w:t>1</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spacing w:line="240" w:lineRule="auto"/>
              <w:jc w:val="center"/>
              <w:rPr>
                <w:b/>
                <w:bCs/>
                <w:sz w:val="21"/>
                <w:szCs w:val="21"/>
                <w:lang w:val="es-AR" w:bidi="ne-NP"/>
              </w:rPr>
            </w:pPr>
            <w:r>
              <w:rPr>
                <w:b/>
                <w:bCs/>
                <w:sz w:val="21"/>
                <w:szCs w:val="21"/>
                <w:lang w:val="es-AR" w:bidi="ne-NP"/>
              </w:rPr>
              <w:t>科研工具</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sz w:val="21"/>
                <w:szCs w:val="21"/>
                <w:lang w:val="es-AR" w:bidi="ne-NP"/>
              </w:rPr>
              <w:t>通过真实病例的开展临床研究，从多个角度探索对患者治疗和临床应用的帮助</w:t>
            </w:r>
            <w:r>
              <w:rPr>
                <w:rFonts w:hint="eastAsia"/>
                <w:sz w:val="21"/>
                <w:szCs w:val="21"/>
                <w:lang w:val="es-AR" w:bidi="ne-NP"/>
              </w:rPr>
              <w:t>；</w:t>
            </w:r>
          </w:p>
          <w:p w:rsidR="00BB4623" w:rsidRDefault="00006663">
            <w:pPr>
              <w:rPr>
                <w:sz w:val="21"/>
                <w:szCs w:val="21"/>
                <w:lang w:val="es-AR" w:bidi="ne-NP"/>
              </w:rPr>
            </w:pPr>
            <w:r>
              <w:rPr>
                <w:sz w:val="21"/>
                <w:szCs w:val="21"/>
                <w:lang w:val="es-AR" w:bidi="ne-NP"/>
              </w:rPr>
              <w:t>可用于一致性、回顾</w:t>
            </w:r>
            <w:r>
              <w:rPr>
                <w:sz w:val="21"/>
                <w:szCs w:val="21"/>
                <w:lang w:val="es-AR" w:bidi="ne-NP"/>
              </w:rPr>
              <w:t>/</w:t>
            </w:r>
            <w:r>
              <w:rPr>
                <w:sz w:val="21"/>
                <w:szCs w:val="21"/>
                <w:lang w:val="es-AR" w:bidi="ne-NP"/>
              </w:rPr>
              <w:t>前瞻性、生存</w:t>
            </w:r>
            <w:r>
              <w:rPr>
                <w:sz w:val="21"/>
                <w:szCs w:val="21"/>
                <w:lang w:val="es-AR" w:bidi="ne-NP"/>
              </w:rPr>
              <w:t>/</w:t>
            </w:r>
            <w:r>
              <w:rPr>
                <w:sz w:val="21"/>
                <w:szCs w:val="21"/>
                <w:lang w:val="es-AR" w:bidi="ne-NP"/>
              </w:rPr>
              <w:t>费用研究、新的应用场景验证等单中心或多中心的研究，具有周期短、操作简便、结果易分析等优势。</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sz w:val="21"/>
                <w:szCs w:val="21"/>
                <w:lang w:val="es-AR" w:bidi="ne-NP"/>
              </w:rPr>
              <w:t>12</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BB4623">
            <w:pPr>
              <w:jc w:val="center"/>
              <w:rPr>
                <w:b/>
                <w:bCs/>
                <w:sz w:val="21"/>
                <w:szCs w:val="21"/>
              </w:rPr>
            </w:pPr>
          </w:p>
          <w:p w:rsidR="00BB4623" w:rsidRDefault="00006663">
            <w:pPr>
              <w:jc w:val="center"/>
              <w:rPr>
                <w:b/>
                <w:bCs/>
                <w:sz w:val="21"/>
                <w:szCs w:val="21"/>
              </w:rPr>
            </w:pPr>
            <w:r>
              <w:rPr>
                <w:rFonts w:hint="eastAsia"/>
                <w:b/>
                <w:bCs/>
                <w:sz w:val="21"/>
                <w:szCs w:val="21"/>
              </w:rPr>
              <w:t>远程会诊</w:t>
            </w:r>
          </w:p>
          <w:p w:rsidR="00BB4623" w:rsidRDefault="00BB4623">
            <w:pPr>
              <w:jc w:val="center"/>
              <w:rPr>
                <w:b/>
                <w:bCs/>
                <w:sz w:val="21"/>
                <w:szCs w:val="21"/>
                <w:lang w:val="es-AR" w:bidi="ne-NP"/>
              </w:rPr>
            </w:pPr>
          </w:p>
        </w:tc>
        <w:tc>
          <w:tcPr>
            <w:tcW w:w="6662" w:type="dxa"/>
            <w:tcBorders>
              <w:top w:val="single" w:sz="4" w:space="0" w:color="auto"/>
              <w:left w:val="single" w:sz="4" w:space="0" w:color="auto"/>
              <w:bottom w:val="single" w:sz="4" w:space="0" w:color="auto"/>
              <w:right w:val="single" w:sz="4" w:space="0" w:color="auto"/>
            </w:tcBorders>
            <w:vAlign w:val="bottom"/>
          </w:tcPr>
          <w:p w:rsidR="00BB4623" w:rsidRDefault="00006663">
            <w:pPr>
              <w:rPr>
                <w:sz w:val="21"/>
                <w:szCs w:val="21"/>
                <w:lang w:val="es-AR" w:bidi="ne-NP"/>
              </w:rPr>
            </w:pPr>
            <w:r>
              <w:rPr>
                <w:rFonts w:hint="eastAsia"/>
                <w:sz w:val="21"/>
                <w:szCs w:val="21"/>
                <w:lang w:val="es-AR" w:bidi="ne-NP"/>
              </w:rPr>
              <w:lastRenderedPageBreak/>
              <w:t>*</w:t>
            </w:r>
            <w:r>
              <w:rPr>
                <w:rFonts w:hint="eastAsia"/>
                <w:sz w:val="21"/>
                <w:szCs w:val="21"/>
                <w:lang w:val="es-AR" w:bidi="ne-NP"/>
              </w:rPr>
              <w:t>具备远程多学科会诊功能。定位服务于医院内部与肿瘤相关的科室，构建统一便捷、灵活、高效的人工智能协作平台，为医生提供高质量和</w:t>
            </w:r>
            <w:r>
              <w:rPr>
                <w:rFonts w:hint="eastAsia"/>
                <w:sz w:val="21"/>
                <w:szCs w:val="21"/>
                <w:lang w:val="es-AR" w:bidi="ne-NP"/>
              </w:rPr>
              <w:lastRenderedPageBreak/>
              <w:t>专业的沟通服务，方便组织、参与和管理会诊，查阅分享患者数据，并在会诊过程中快捷地获取人工智能辅助诊疗决策支持；</w:t>
            </w:r>
          </w:p>
          <w:p w:rsidR="00BB4623" w:rsidRDefault="00006663">
            <w:pPr>
              <w:rPr>
                <w:sz w:val="21"/>
                <w:szCs w:val="21"/>
                <w:lang w:val="es-AR" w:bidi="ne-NP"/>
              </w:rPr>
            </w:pPr>
            <w:r>
              <w:rPr>
                <w:rFonts w:hint="eastAsia"/>
                <w:sz w:val="21"/>
                <w:szCs w:val="21"/>
                <w:lang w:val="es-AR" w:bidi="ne-NP"/>
              </w:rPr>
              <w:t>能</w:t>
            </w:r>
            <w:r>
              <w:rPr>
                <w:sz w:val="21"/>
                <w:szCs w:val="21"/>
                <w:lang w:val="es-AR" w:bidi="ne-NP"/>
              </w:rPr>
              <w:t>提供多个医院、多名医生参与远程视频同步会诊</w:t>
            </w:r>
            <w:r>
              <w:rPr>
                <w:rFonts w:hint="eastAsia"/>
                <w:sz w:val="21"/>
                <w:szCs w:val="21"/>
                <w:lang w:val="es-AR" w:bidi="ne-NP"/>
              </w:rPr>
              <w:t>，并能通过</w:t>
            </w:r>
            <w:r>
              <w:rPr>
                <w:sz w:val="21"/>
                <w:szCs w:val="21"/>
                <w:lang w:val="es-AR" w:bidi="ne-NP"/>
              </w:rPr>
              <w:t>平台实现学术交流，为患者制定个体化的、权威的治疗方案。</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sz w:val="21"/>
                <w:szCs w:val="21"/>
                <w:lang w:val="es-AR" w:bidi="ne-NP"/>
              </w:rPr>
              <w:lastRenderedPageBreak/>
              <w:t>13</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b/>
                <w:bCs/>
                <w:sz w:val="21"/>
                <w:szCs w:val="21"/>
              </w:rPr>
            </w:pPr>
            <w:r>
              <w:rPr>
                <w:rFonts w:hint="eastAsia"/>
                <w:b/>
                <w:bCs/>
                <w:sz w:val="21"/>
                <w:szCs w:val="21"/>
              </w:rPr>
              <w:t>决策支持</w:t>
            </w:r>
          </w:p>
        </w:tc>
        <w:tc>
          <w:tcPr>
            <w:tcW w:w="6662" w:type="dxa"/>
            <w:tcBorders>
              <w:top w:val="single" w:sz="4" w:space="0" w:color="auto"/>
              <w:left w:val="single" w:sz="4" w:space="0" w:color="auto"/>
              <w:bottom w:val="single" w:sz="4" w:space="0" w:color="auto"/>
              <w:right w:val="single" w:sz="4" w:space="0" w:color="auto"/>
            </w:tcBorders>
            <w:vAlign w:val="bottom"/>
          </w:tcPr>
          <w:p w:rsidR="00BB4623" w:rsidRDefault="00006663">
            <w:pPr>
              <w:rPr>
                <w:sz w:val="21"/>
                <w:szCs w:val="21"/>
              </w:rPr>
            </w:pPr>
            <w:r>
              <w:rPr>
                <w:rFonts w:hint="eastAsia"/>
                <w:sz w:val="21"/>
                <w:szCs w:val="21"/>
                <w:lang w:val="es-AR" w:bidi="ne-NP"/>
              </w:rPr>
              <w:t>*</w:t>
            </w:r>
            <w:r>
              <w:rPr>
                <w:sz w:val="21"/>
                <w:szCs w:val="21"/>
                <w:lang w:val="es-AR" w:bidi="ne-NP"/>
              </w:rPr>
              <w:t>能快速准确、详尽的提供决策背后的支持材料，具有学习、查阅、教学查房、规培病例学习、质控、多学科会诊（</w:t>
            </w:r>
            <w:r>
              <w:rPr>
                <w:sz w:val="21"/>
                <w:szCs w:val="21"/>
                <w:lang w:val="es-AR" w:bidi="ne-NP"/>
              </w:rPr>
              <w:t>MDT</w:t>
            </w:r>
            <w:r>
              <w:rPr>
                <w:sz w:val="21"/>
                <w:szCs w:val="21"/>
                <w:lang w:val="es-AR" w:bidi="ne-NP"/>
              </w:rPr>
              <w:t>）、远程会诊、解读等功能。</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sz w:val="21"/>
                <w:szCs w:val="21"/>
                <w:lang w:val="es-AR" w:bidi="ne-NP"/>
              </w:rPr>
              <w:t>14</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b/>
                <w:bCs/>
                <w:sz w:val="21"/>
                <w:szCs w:val="21"/>
              </w:rPr>
            </w:pPr>
            <w:r>
              <w:rPr>
                <w:rFonts w:hint="eastAsia"/>
                <w:b/>
                <w:bCs/>
                <w:sz w:val="21"/>
                <w:szCs w:val="21"/>
                <w:lang w:val="es-AR" w:bidi="ne-NP"/>
              </w:rPr>
              <w:t>学习平台</w:t>
            </w:r>
          </w:p>
        </w:tc>
        <w:tc>
          <w:tcPr>
            <w:tcW w:w="6662" w:type="dxa"/>
            <w:tcBorders>
              <w:top w:val="single" w:sz="4" w:space="0" w:color="auto"/>
              <w:left w:val="single" w:sz="4" w:space="0" w:color="auto"/>
              <w:bottom w:val="single" w:sz="4" w:space="0" w:color="auto"/>
              <w:right w:val="single" w:sz="4" w:space="0" w:color="auto"/>
            </w:tcBorders>
            <w:vAlign w:val="bottom"/>
          </w:tcPr>
          <w:p w:rsidR="00BB4623" w:rsidRDefault="00006663">
            <w:pPr>
              <w:rPr>
                <w:sz w:val="21"/>
                <w:szCs w:val="21"/>
                <w:lang w:val="es-AR" w:bidi="ne-NP"/>
              </w:rPr>
            </w:pPr>
            <w:r>
              <w:rPr>
                <w:rFonts w:hint="eastAsia"/>
                <w:sz w:val="21"/>
                <w:szCs w:val="21"/>
                <w:lang w:val="es-AR" w:bidi="ne-NP"/>
              </w:rPr>
              <w:t>*</w:t>
            </w:r>
            <w:r>
              <w:rPr>
                <w:rFonts w:hint="eastAsia"/>
                <w:sz w:val="21"/>
                <w:szCs w:val="21"/>
                <w:lang w:val="es-AR" w:bidi="ne-NP"/>
              </w:rPr>
              <w:t>可</w:t>
            </w:r>
            <w:bookmarkStart w:id="0" w:name="_GoBack"/>
            <w:bookmarkEnd w:id="0"/>
            <w:r>
              <w:rPr>
                <w:rFonts w:hint="eastAsia"/>
                <w:sz w:val="21"/>
                <w:szCs w:val="21"/>
                <w:lang w:val="es-AR" w:bidi="ne-NP"/>
              </w:rPr>
              <w:t>为肿瘤医院和医生打造的在线培训</w:t>
            </w:r>
            <w:r>
              <w:rPr>
                <w:sz w:val="21"/>
                <w:szCs w:val="21"/>
                <w:lang w:val="es-AR" w:bidi="ne-NP"/>
              </w:rPr>
              <w:t>&amp;</w:t>
            </w:r>
            <w:r>
              <w:rPr>
                <w:sz w:val="21"/>
                <w:szCs w:val="21"/>
                <w:lang w:val="es-AR" w:bidi="ne-NP"/>
              </w:rPr>
              <w:t>学习平台，基于病例，提供丰富的学习管理和教学功能，满足肿瘤医院和医生多层次的教育需求</w:t>
            </w:r>
            <w:r>
              <w:rPr>
                <w:rFonts w:hint="eastAsia"/>
                <w:sz w:val="21"/>
                <w:szCs w:val="21"/>
                <w:lang w:val="es-AR" w:bidi="ne-NP"/>
              </w:rPr>
              <w:t>。</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sz w:val="21"/>
                <w:szCs w:val="21"/>
                <w:lang w:val="es-AR" w:bidi="ne-NP"/>
              </w:rPr>
              <w:t>15</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b/>
                <w:bCs/>
                <w:sz w:val="21"/>
                <w:szCs w:val="21"/>
                <w:lang w:val="es-AR" w:bidi="ne-NP"/>
              </w:rPr>
            </w:pPr>
            <w:r>
              <w:rPr>
                <w:rFonts w:hint="eastAsia"/>
                <w:b/>
                <w:bCs/>
                <w:sz w:val="21"/>
                <w:szCs w:val="21"/>
                <w:lang w:val="es-AR" w:bidi="ne-NP"/>
              </w:rPr>
              <w:t>临床研究</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rFonts w:hint="eastAsia"/>
                <w:sz w:val="21"/>
                <w:szCs w:val="21"/>
                <w:lang w:val="es-AR" w:bidi="ne-NP"/>
              </w:rPr>
              <w:t>*</w:t>
            </w:r>
            <w:r>
              <w:rPr>
                <w:rFonts w:hint="eastAsia"/>
                <w:sz w:val="21"/>
                <w:szCs w:val="21"/>
                <w:lang w:val="es-AR" w:bidi="ne-NP"/>
              </w:rPr>
              <w:t>能</w:t>
            </w:r>
            <w:r>
              <w:rPr>
                <w:sz w:val="21"/>
                <w:szCs w:val="21"/>
                <w:lang w:val="es-AR" w:bidi="ne-NP"/>
              </w:rPr>
              <w:t>提供创建研究病例、导出研究等功能，支持临床研究多样化需求。</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sz w:val="21"/>
                <w:szCs w:val="21"/>
                <w:lang w:val="es-AR" w:bidi="ne-NP"/>
              </w:rPr>
              <w:t>16</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widowControl w:val="0"/>
              <w:topLinePunct w:val="0"/>
              <w:autoSpaceDE/>
              <w:adjustRightInd/>
              <w:jc w:val="center"/>
              <w:rPr>
                <w:b/>
                <w:bCs/>
                <w:sz w:val="21"/>
                <w:szCs w:val="21"/>
                <w:lang w:val="es-AR" w:bidi="ne-NP"/>
              </w:rPr>
            </w:pPr>
            <w:r>
              <w:rPr>
                <w:b/>
                <w:bCs/>
                <w:sz w:val="21"/>
                <w:szCs w:val="21"/>
                <w:lang w:val="es-AR" w:bidi="ne-NP"/>
              </w:rPr>
              <w:t>扩展功能</w:t>
            </w:r>
          </w:p>
        </w:tc>
        <w:tc>
          <w:tcPr>
            <w:tcW w:w="6662" w:type="dxa"/>
            <w:tcBorders>
              <w:top w:val="single" w:sz="4" w:space="0" w:color="auto"/>
              <w:left w:val="single" w:sz="4" w:space="0" w:color="auto"/>
              <w:bottom w:val="single" w:sz="4" w:space="0" w:color="auto"/>
              <w:right w:val="single" w:sz="4" w:space="0" w:color="auto"/>
            </w:tcBorders>
            <w:vAlign w:val="center"/>
          </w:tcPr>
          <w:p w:rsidR="00BB4623" w:rsidRDefault="00006663">
            <w:pPr>
              <w:rPr>
                <w:sz w:val="21"/>
                <w:szCs w:val="21"/>
                <w:lang w:val="es-AR" w:bidi="ne-NP"/>
              </w:rPr>
            </w:pPr>
            <w:r>
              <w:rPr>
                <w:rFonts w:hint="eastAsia"/>
                <w:sz w:val="21"/>
                <w:szCs w:val="21"/>
                <w:lang w:val="es-AR" w:bidi="ne-NP"/>
              </w:rPr>
              <w:t>根据需要，可提供</w:t>
            </w:r>
            <w:r>
              <w:rPr>
                <w:sz w:val="21"/>
                <w:szCs w:val="21"/>
                <w:lang w:val="es-AR" w:bidi="ne-NP"/>
              </w:rPr>
              <w:t>NGS</w:t>
            </w:r>
            <w:r>
              <w:rPr>
                <w:sz w:val="21"/>
                <w:szCs w:val="21"/>
                <w:lang w:val="es-AR" w:bidi="ne-NP"/>
              </w:rPr>
              <w:t>智能解读</w:t>
            </w:r>
            <w:r>
              <w:rPr>
                <w:rFonts w:hint="eastAsia"/>
                <w:sz w:val="21"/>
                <w:szCs w:val="21"/>
                <w:lang w:val="es-AR" w:bidi="ne-NP"/>
              </w:rPr>
              <w:t>、智能影像等</w:t>
            </w:r>
            <w:r>
              <w:rPr>
                <w:rFonts w:hint="eastAsia"/>
                <w:sz w:val="21"/>
                <w:szCs w:val="21"/>
                <w:lang w:val="es-AR" w:bidi="ne-NP"/>
              </w:rPr>
              <w:t>AI</w:t>
            </w:r>
            <w:r>
              <w:rPr>
                <w:rFonts w:hint="eastAsia"/>
                <w:sz w:val="21"/>
                <w:szCs w:val="21"/>
                <w:lang w:val="es-AR" w:bidi="ne-NP"/>
              </w:rPr>
              <w:t>模块的使用。</w:t>
            </w:r>
          </w:p>
        </w:tc>
      </w:tr>
      <w:tr w:rsidR="00BB462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sz w:val="21"/>
                <w:szCs w:val="21"/>
                <w:lang w:val="es-AR" w:bidi="ne-NP"/>
              </w:rPr>
            </w:pPr>
            <w:r>
              <w:rPr>
                <w:rFonts w:hint="eastAsia"/>
                <w:sz w:val="21"/>
                <w:szCs w:val="21"/>
                <w:lang w:val="es-AR" w:bidi="ne-NP"/>
              </w:rPr>
              <w:t>1</w:t>
            </w:r>
            <w:r>
              <w:rPr>
                <w:sz w:val="21"/>
                <w:szCs w:val="21"/>
                <w:lang w:val="es-AR" w:bidi="ne-NP"/>
              </w:rPr>
              <w:t>7</w:t>
            </w:r>
          </w:p>
        </w:tc>
        <w:tc>
          <w:tcPr>
            <w:tcW w:w="1301" w:type="dxa"/>
            <w:tcBorders>
              <w:top w:val="single" w:sz="4" w:space="0" w:color="auto"/>
              <w:left w:val="single" w:sz="4" w:space="0" w:color="auto"/>
              <w:bottom w:val="single" w:sz="4" w:space="0" w:color="auto"/>
              <w:right w:val="single" w:sz="4" w:space="0" w:color="auto"/>
            </w:tcBorders>
            <w:vAlign w:val="center"/>
          </w:tcPr>
          <w:p w:rsidR="00BB4623" w:rsidRDefault="00006663">
            <w:pPr>
              <w:jc w:val="center"/>
              <w:rPr>
                <w:b/>
                <w:bCs/>
                <w:sz w:val="21"/>
                <w:szCs w:val="21"/>
              </w:rPr>
            </w:pPr>
            <w:r>
              <w:rPr>
                <w:rFonts w:hint="eastAsia"/>
                <w:b/>
                <w:bCs/>
                <w:sz w:val="21"/>
                <w:szCs w:val="21"/>
              </w:rPr>
              <w:t>用户管理</w:t>
            </w:r>
          </w:p>
        </w:tc>
        <w:tc>
          <w:tcPr>
            <w:tcW w:w="6662" w:type="dxa"/>
            <w:tcBorders>
              <w:top w:val="single" w:sz="4" w:space="0" w:color="auto"/>
              <w:left w:val="single" w:sz="4" w:space="0" w:color="auto"/>
              <w:bottom w:val="single" w:sz="4" w:space="0" w:color="auto"/>
              <w:right w:val="single" w:sz="4" w:space="0" w:color="auto"/>
            </w:tcBorders>
            <w:vAlign w:val="bottom"/>
          </w:tcPr>
          <w:p w:rsidR="00BB4623" w:rsidRDefault="00006663">
            <w:pPr>
              <w:rPr>
                <w:sz w:val="21"/>
                <w:szCs w:val="21"/>
              </w:rPr>
            </w:pPr>
            <w:r>
              <w:rPr>
                <w:rFonts w:hint="eastAsia"/>
                <w:sz w:val="21"/>
                <w:szCs w:val="21"/>
              </w:rPr>
              <w:t>支持多用户管理；</w:t>
            </w:r>
          </w:p>
          <w:p w:rsidR="00BB4623" w:rsidRDefault="00006663">
            <w:pPr>
              <w:rPr>
                <w:sz w:val="21"/>
                <w:szCs w:val="21"/>
              </w:rPr>
            </w:pPr>
            <w:r>
              <w:rPr>
                <w:rFonts w:hint="eastAsia"/>
                <w:sz w:val="21"/>
                <w:szCs w:val="21"/>
              </w:rPr>
              <w:t>支持按用户角色创建用户及分配权限。</w:t>
            </w:r>
          </w:p>
        </w:tc>
      </w:tr>
    </w:tbl>
    <w:p w:rsidR="00BB4623" w:rsidRDefault="00125C4F">
      <w:pPr>
        <w:rPr>
          <w:sz w:val="21"/>
          <w:szCs w:val="21"/>
          <w:lang w:val="es-AR" w:bidi="ne-NP"/>
        </w:rPr>
      </w:pPr>
      <w:r>
        <w:rPr>
          <w:rFonts w:hint="eastAsia"/>
          <w:sz w:val="21"/>
          <w:szCs w:val="21"/>
          <w:lang w:val="es-AR" w:bidi="ne-NP"/>
        </w:rPr>
        <w:t>注：*参数为核心参数</w:t>
      </w:r>
    </w:p>
    <w:sectPr w:rsidR="00BB4623" w:rsidSect="00BB46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663" w:rsidRDefault="00006663" w:rsidP="00125C4F">
      <w:pPr>
        <w:spacing w:line="240" w:lineRule="auto"/>
      </w:pPr>
      <w:r>
        <w:separator/>
      </w:r>
    </w:p>
  </w:endnote>
  <w:endnote w:type="continuationSeparator" w:id="1">
    <w:p w:rsidR="00006663" w:rsidRDefault="00006663" w:rsidP="00125C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663" w:rsidRDefault="00006663" w:rsidP="00125C4F">
      <w:pPr>
        <w:spacing w:line="240" w:lineRule="auto"/>
      </w:pPr>
      <w:r>
        <w:separator/>
      </w:r>
    </w:p>
  </w:footnote>
  <w:footnote w:type="continuationSeparator" w:id="1">
    <w:p w:rsidR="00006663" w:rsidRDefault="00006663" w:rsidP="00125C4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4623"/>
    <w:rsid w:val="00006663"/>
    <w:rsid w:val="00125C4F"/>
    <w:rsid w:val="00BB46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623"/>
    <w:pPr>
      <w:topLinePunct/>
      <w:autoSpaceDE w:val="0"/>
      <w:adjustRightInd w:val="0"/>
      <w:spacing w:line="360" w:lineRule="auto"/>
      <w:jc w:val="both"/>
    </w:pPr>
    <w:rPr>
      <w:rFonts w:ascii="宋体"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4623"/>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BB4623"/>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99"/>
    <w:unhideWhenUsed/>
    <w:qFormat/>
    <w:rsid w:val="00BB46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BB4623"/>
    <w:pPr>
      <w:ind w:firstLineChars="200" w:firstLine="420"/>
    </w:pPr>
  </w:style>
  <w:style w:type="character" w:customStyle="1" w:styleId="Char0">
    <w:name w:val="页眉 Char"/>
    <w:basedOn w:val="a0"/>
    <w:link w:val="a4"/>
    <w:uiPriority w:val="99"/>
    <w:qFormat/>
    <w:rsid w:val="00BB4623"/>
    <w:rPr>
      <w:rFonts w:ascii="宋体" w:eastAsia="宋体" w:hAnsi="宋体" w:cs="宋体"/>
      <w:sz w:val="18"/>
      <w:szCs w:val="18"/>
    </w:rPr>
  </w:style>
  <w:style w:type="character" w:customStyle="1" w:styleId="Char">
    <w:name w:val="页脚 Char"/>
    <w:basedOn w:val="a0"/>
    <w:link w:val="a3"/>
    <w:uiPriority w:val="99"/>
    <w:qFormat/>
    <w:rsid w:val="00BB4623"/>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1545</Characters>
  <Application>Microsoft Office Word</Application>
  <DocSecurity>0</DocSecurity>
  <Lines>12</Lines>
  <Paragraphs>3</Paragraphs>
  <ScaleCrop>false</ScaleCrop>
  <Company>WwW.YlmF.CoM</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HP440</cp:lastModifiedBy>
  <cp:revision>79</cp:revision>
  <cp:lastPrinted>2018-09-25T12:27:00Z</cp:lastPrinted>
  <dcterms:created xsi:type="dcterms:W3CDTF">2018-09-12T05:41:00Z</dcterms:created>
  <dcterms:modified xsi:type="dcterms:W3CDTF">2019-10-17T00:56:00Z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2052-10.0.0</vt:lpwstr>
  </property>
</Properties>
</file>