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华文中宋"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方正小标宋简体" w:cs="Times New Roman"/>
          <w:kern w:val="0"/>
          <w:sz w:val="36"/>
          <w:szCs w:val="36"/>
        </w:rPr>
      </w:pPr>
    </w:p>
    <w:p>
      <w:pPr>
        <w:jc w:val="center"/>
        <w:rPr>
          <w:rFonts w:ascii="Times New Roman" w:hAnsi="Times New Roman" w:eastAsia="方正小标宋简体" w:cs="Times New Roman"/>
          <w:kern w:val="0"/>
          <w:sz w:val="84"/>
          <w:szCs w:val="84"/>
        </w:rPr>
      </w:pPr>
      <w:r>
        <w:rPr>
          <w:rFonts w:hint="eastAsia" w:ascii="Times New Roman" w:hAnsi="Times New Roman" w:eastAsia="方正小标宋简体" w:cs="Times New Roman"/>
          <w:kern w:val="0"/>
          <w:sz w:val="84"/>
          <w:szCs w:val="84"/>
        </w:rPr>
        <w:t xml:space="preserve">招 标 </w:t>
      </w:r>
      <w:r>
        <w:rPr>
          <w:rFonts w:ascii="Times New Roman" w:hAnsi="Times New Roman" w:eastAsia="方正小标宋简体" w:cs="Times New Roman"/>
          <w:kern w:val="0"/>
          <w:sz w:val="84"/>
          <w:szCs w:val="84"/>
        </w:rPr>
        <w:t>文</w:t>
      </w:r>
      <w:r>
        <w:rPr>
          <w:rFonts w:hint="eastAsia" w:ascii="Times New Roman" w:hAnsi="Times New Roman" w:eastAsia="方正小标宋简体" w:cs="Times New Roman"/>
          <w:kern w:val="0"/>
          <w:sz w:val="84"/>
          <w:szCs w:val="84"/>
        </w:rPr>
        <w:t xml:space="preserve"> </w:t>
      </w:r>
      <w:r>
        <w:rPr>
          <w:rFonts w:ascii="Times New Roman" w:hAnsi="Times New Roman" w:eastAsia="方正小标宋简体" w:cs="Times New Roman"/>
          <w:kern w:val="0"/>
          <w:sz w:val="84"/>
          <w:szCs w:val="84"/>
        </w:rPr>
        <w:t>件</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ind w:firstLine="2106" w:firstLineChars="600"/>
        <w:rPr>
          <w:rFonts w:hint="default" w:ascii="宋体" w:hAnsi="宋体" w:eastAsia="宋体" w:cs="Times New Roman"/>
          <w:kern w:val="0"/>
          <w:sz w:val="36"/>
          <w:szCs w:val="36"/>
          <w:lang w:val="en-US" w:eastAsia="zh-CN"/>
        </w:rPr>
      </w:pPr>
      <w:r>
        <w:rPr>
          <w:rFonts w:hint="eastAsia" w:ascii="宋体" w:hAnsi="宋体" w:eastAsia="宋体" w:cs="Times New Roman"/>
          <w:kern w:val="0"/>
          <w:sz w:val="36"/>
          <w:szCs w:val="36"/>
        </w:rPr>
        <w:t>项目名称：</w:t>
      </w:r>
      <w:r>
        <w:rPr>
          <w:rFonts w:hint="eastAsia" w:ascii="宋体" w:hAnsi="宋体" w:eastAsia="宋体" w:cs="Times New Roman"/>
          <w:kern w:val="0"/>
          <w:sz w:val="36"/>
          <w:szCs w:val="36"/>
          <w:u w:val="single"/>
        </w:rPr>
        <w:t xml:space="preserve"> </w:t>
      </w:r>
      <w:r>
        <w:rPr>
          <w:rFonts w:hint="eastAsia" w:ascii="宋体" w:hAnsi="宋体" w:eastAsia="宋体" w:cs="Times New Roman"/>
          <w:kern w:val="0"/>
          <w:sz w:val="36"/>
          <w:szCs w:val="36"/>
          <w:u w:val="single"/>
          <w:lang w:eastAsia="zh-CN"/>
        </w:rPr>
        <w:t>除颤仪</w:t>
      </w:r>
      <w:r>
        <w:rPr>
          <w:rFonts w:hint="eastAsia" w:ascii="宋体" w:hAnsi="宋体" w:eastAsia="宋体" w:cs="Times New Roman"/>
          <w:kern w:val="0"/>
          <w:sz w:val="36"/>
          <w:szCs w:val="36"/>
          <w:u w:val="single"/>
          <w:lang w:val="en-US" w:eastAsia="zh-CN"/>
        </w:rPr>
        <w:t xml:space="preserve"> </w:t>
      </w: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项目编号：</w:t>
      </w:r>
      <w:r>
        <w:rPr>
          <w:rFonts w:hint="eastAsia" w:ascii="宋体" w:hAnsi="宋体" w:eastAsia="宋体" w:cs="Times New Roman"/>
          <w:kern w:val="0"/>
          <w:sz w:val="36"/>
          <w:szCs w:val="36"/>
          <w:u w:val="single"/>
          <w:lang w:eastAsia="zh-CN"/>
        </w:rPr>
        <w:t>2020-JL13(03)-W10086</w:t>
      </w:r>
      <w:r>
        <w:rPr>
          <w:rFonts w:hint="eastAsia" w:ascii="宋体" w:hAnsi="宋体" w:eastAsia="宋体" w:cs="Times New Roman"/>
          <w:kern w:val="0"/>
          <w:sz w:val="36"/>
          <w:szCs w:val="36"/>
          <w:u w:val="single"/>
        </w:rPr>
        <w:t xml:space="preserve"> </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jc w:val="center"/>
        <w:rPr>
          <w:rFonts w:ascii="宋体" w:hAnsi="宋体" w:eastAsia="宋体" w:cs="Times New Roman"/>
          <w:kern w:val="0"/>
          <w:sz w:val="36"/>
          <w:szCs w:val="36"/>
        </w:rPr>
      </w:pPr>
      <w:r>
        <w:rPr>
          <w:rFonts w:hint="eastAsia" w:ascii="宋体" w:hAnsi="宋体" w:eastAsia="宋体" w:cs="Times New Roman"/>
          <w:kern w:val="0"/>
          <w:sz w:val="36"/>
          <w:szCs w:val="36"/>
        </w:rPr>
        <w:t>招标人：物资采购中心</w:t>
      </w:r>
    </w:p>
    <w:p>
      <w:pPr>
        <w:rPr>
          <w:rFonts w:ascii="宋体" w:hAnsi="宋体" w:eastAsia="宋体" w:cs="Times New Roman"/>
          <w:bCs/>
          <w:spacing w:val="-26"/>
          <w:kern w:val="0"/>
          <w:sz w:val="36"/>
          <w:szCs w:val="36"/>
        </w:rPr>
      </w:pPr>
    </w:p>
    <w:p>
      <w:pPr>
        <w:jc w:val="center"/>
        <w:rPr>
          <w:rFonts w:ascii="宋体" w:hAnsi="宋体" w:eastAsia="宋体" w:cs="Times New Roman"/>
          <w:kern w:val="0"/>
          <w:sz w:val="36"/>
          <w:szCs w:val="36"/>
        </w:rPr>
      </w:pPr>
      <w:r>
        <w:rPr>
          <w:rFonts w:ascii="宋体" w:hAnsi="宋体" w:eastAsia="宋体" w:cs="Times New Roman"/>
          <w:kern w:val="0"/>
          <w:sz w:val="36"/>
          <w:szCs w:val="36"/>
        </w:rPr>
        <w:t>二〇二〇年</w:t>
      </w:r>
      <w:r>
        <w:rPr>
          <w:rFonts w:hint="eastAsia" w:ascii="宋体" w:hAnsi="宋体" w:eastAsia="宋体" w:cs="Times New Roman"/>
          <w:kern w:val="0"/>
          <w:sz w:val="36"/>
          <w:szCs w:val="36"/>
          <w:lang w:eastAsia="zh-CN"/>
        </w:rPr>
        <w:t>十一</w:t>
      </w:r>
      <w:r>
        <w:rPr>
          <w:rFonts w:ascii="宋体" w:hAnsi="宋体" w:eastAsia="宋体" w:cs="Times New Roman"/>
          <w:kern w:val="0"/>
          <w:sz w:val="36"/>
          <w:szCs w:val="36"/>
        </w:rPr>
        <w:t>月</w:t>
      </w:r>
    </w:p>
    <w:p>
      <w:pPr>
        <w:rPr>
          <w:rFonts w:ascii="黑体" w:hAnsi="黑体" w:eastAsia="黑体" w:cs="Times New Roman"/>
          <w:bCs/>
          <w:kern w:val="0"/>
          <w:sz w:val="30"/>
          <w:szCs w:val="30"/>
        </w:rPr>
      </w:pPr>
      <w:r>
        <w:rPr>
          <w:rFonts w:ascii="黑体" w:hAnsi="黑体" w:eastAsia="黑体" w:cs="Times New Roman"/>
          <w:bCs/>
          <w:kern w:val="0"/>
          <w:sz w:val="30"/>
          <w:szCs w:val="30"/>
        </w:rPr>
        <w:br w:type="page"/>
      </w:r>
    </w:p>
    <w:p>
      <w:pPr>
        <w:jc w:val="center"/>
        <w:rPr>
          <w:rFonts w:ascii="黑体" w:hAnsi="黑体" w:eastAsia="黑体" w:cs="Times New Roman"/>
          <w:bCs/>
          <w:kern w:val="0"/>
          <w:sz w:val="30"/>
          <w:szCs w:val="30"/>
        </w:rPr>
      </w:pPr>
      <w:r>
        <w:rPr>
          <w:rFonts w:ascii="黑体" w:hAnsi="黑体" w:eastAsia="黑体" w:cs="Times New Roman"/>
          <w:bCs/>
          <w:kern w:val="0"/>
          <w:sz w:val="30"/>
          <w:szCs w:val="30"/>
        </w:rPr>
        <w:t>特别提示：</w:t>
      </w:r>
      <w:r>
        <w:rPr>
          <w:rFonts w:hint="eastAsia" w:ascii="黑体" w:hAnsi="黑体" w:eastAsia="黑体" w:cs="Times New Roman"/>
          <w:bCs/>
          <w:kern w:val="0"/>
          <w:sz w:val="30"/>
          <w:szCs w:val="30"/>
        </w:rPr>
        <w:t>投标</w:t>
      </w:r>
      <w:r>
        <w:rPr>
          <w:rFonts w:ascii="黑体" w:hAnsi="黑体" w:eastAsia="黑体" w:cs="Times New Roman"/>
          <w:bCs/>
          <w:kern w:val="0"/>
          <w:sz w:val="30"/>
          <w:szCs w:val="30"/>
        </w:rPr>
        <w:t>注意事项</w:t>
      </w:r>
    </w:p>
    <w:p>
      <w:pPr>
        <w:widowControl/>
        <w:ind w:firstLine="582" w:firstLineChars="200"/>
        <w:textAlignment w:val="baseline"/>
        <w:rPr>
          <w:rFonts w:ascii="黑体" w:hAnsi="黑体" w:eastAsia="黑体" w:cs="Times New Roman"/>
          <w:kern w:val="0"/>
          <w:sz w:val="30"/>
          <w:szCs w:val="30"/>
          <w:u w:color="000000"/>
        </w:rPr>
      </w:pP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一、投标人应特别留意招标文件上载明的投标开始截止时间，提前或逾期送达（含邮寄送达）的投标文件概不接受。</w:t>
      </w:r>
    </w:p>
    <w:p>
      <w:pPr>
        <w:widowControl/>
        <w:ind w:firstLine="582" w:firstLineChars="200"/>
        <w:rPr>
          <w:rFonts w:cs="Times New Roman" w:asciiTheme="minorEastAsia" w:hAnsiTheme="minorEastAsia"/>
          <w:snapToGrid w:val="0"/>
          <w:kern w:val="0"/>
          <w:sz w:val="30"/>
          <w:szCs w:val="30"/>
          <w:u w:color="000000"/>
        </w:rPr>
      </w:pPr>
      <w:r>
        <w:rPr>
          <w:rFonts w:hint="eastAsia" w:cs="Times New Roman" w:asciiTheme="minorEastAsia" w:hAnsiTheme="minorEastAsia"/>
          <w:kern w:val="0"/>
          <w:sz w:val="30"/>
          <w:szCs w:val="30"/>
          <w:u w:color="000000"/>
        </w:rPr>
        <w:t>二、请仔细检查招标文件要求提交的相关证书的有效期和审核信息。</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snapToGrid w:val="0"/>
          <w:kern w:val="0"/>
          <w:sz w:val="30"/>
          <w:szCs w:val="30"/>
          <w:u w:color="000000"/>
        </w:rPr>
        <w:t>三、</w:t>
      </w:r>
      <w:r>
        <w:rPr>
          <w:rFonts w:hint="eastAsia" w:ascii="宋体" w:hAnsi="宋体" w:eastAsia="宋体" w:cs="Times New Roman"/>
          <w:kern w:val="0"/>
          <w:sz w:val="30"/>
          <w:szCs w:val="30"/>
          <w:u w:color="000000"/>
        </w:rPr>
        <w:t>请仔细检查投标文件是否按要求盖单位公章、签名、签署日期、</w:t>
      </w:r>
      <w:r>
        <w:rPr>
          <w:rFonts w:hint="eastAsia" w:ascii="黑体" w:hAnsi="黑体" w:eastAsia="黑体" w:cs="Times New Roman"/>
          <w:kern w:val="0"/>
          <w:sz w:val="30"/>
          <w:szCs w:val="30"/>
          <w:u w:color="000000"/>
        </w:rPr>
        <w:t>胶装成册（</w:t>
      </w:r>
      <w:r>
        <w:rPr>
          <w:rFonts w:hint="eastAsia" w:cs="Times New Roman" w:asciiTheme="minorEastAsia" w:hAnsiTheme="minorEastAsia"/>
          <w:kern w:val="0"/>
          <w:sz w:val="30"/>
          <w:szCs w:val="30"/>
          <w:u w:color="000000"/>
        </w:rPr>
        <w:t>价格文件除外</w:t>
      </w:r>
      <w:r>
        <w:rPr>
          <w:rFonts w:hint="eastAsia" w:ascii="黑体" w:hAnsi="黑体" w:eastAsia="黑体" w:cs="Times New Roman"/>
          <w:kern w:val="0"/>
          <w:sz w:val="30"/>
          <w:szCs w:val="30"/>
          <w:u w:color="000000"/>
        </w:rPr>
        <w:t>）</w:t>
      </w:r>
      <w:r>
        <w:rPr>
          <w:rFonts w:hint="eastAsia" w:ascii="宋体" w:hAnsi="宋体" w:eastAsia="宋体" w:cs="Times New Roman"/>
          <w:kern w:val="0"/>
          <w:sz w:val="30"/>
          <w:szCs w:val="30"/>
          <w:u w:color="000000"/>
        </w:rPr>
        <w:t>、密封，投标文件需签名之处必须由当事人签署，否则可能会被视为无效投标</w:t>
      </w:r>
      <w:r>
        <w:rPr>
          <w:rFonts w:hint="eastAsia" w:cs="Times New Roman" w:asciiTheme="minorEastAsia" w:hAnsiTheme="minorEastAsia"/>
          <w:kern w:val="0"/>
          <w:sz w:val="30"/>
          <w:szCs w:val="30"/>
          <w:u w:color="000000"/>
        </w:rPr>
        <w:t>。</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四、带</w:t>
      </w:r>
      <w:r>
        <w:rPr>
          <w:rFonts w:hint="eastAsia" w:cs="宋体" w:asciiTheme="minorEastAsia" w:hAnsiTheme="minorEastAsia"/>
          <w:kern w:val="0"/>
          <w:sz w:val="30"/>
          <w:szCs w:val="30"/>
          <w:u w:color="000000"/>
        </w:rPr>
        <w:t>★</w:t>
      </w:r>
      <w:r>
        <w:rPr>
          <w:rFonts w:hint="eastAsia" w:cs="Times New Roman" w:asciiTheme="minorEastAsia" w:hAnsiTheme="minorEastAsia"/>
          <w:kern w:val="0"/>
          <w:sz w:val="30"/>
          <w:szCs w:val="30"/>
          <w:u w:color="000000"/>
        </w:rPr>
        <w:t>号条款均为实质性响应指标要求，必须全部响应。若有一项带“</w:t>
      </w:r>
      <w:r>
        <w:rPr>
          <w:rFonts w:hint="eastAsia" w:cs="宋体" w:asciiTheme="minorEastAsia" w:hAnsiTheme="minorEastAsia"/>
          <w:kern w:val="0"/>
          <w:sz w:val="30"/>
          <w:szCs w:val="30"/>
          <w:u w:color="000000"/>
        </w:rPr>
        <w:t>★</w:t>
      </w:r>
      <w:r>
        <w:rPr>
          <w:rFonts w:hint="eastAsia" w:cs="Times New Roman" w:asciiTheme="minorEastAsia" w:hAnsiTheme="minorEastAsia"/>
          <w:kern w:val="0"/>
          <w:sz w:val="30"/>
          <w:szCs w:val="30"/>
          <w:u w:color="000000"/>
        </w:rPr>
        <w:t>”条款未响应或不满足，均视为非实质性响应招标文件，按无效投标处理。</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五、《价格文件》一式一份，单独装订，密封在一个信封内，在信封表面标明“价格文件”“开标时启封”字样，注明“投标人名称”“项目名称”“项目编号”“包号”等信息，投标时单独递交。投标人如未按上述要求单独递交《价格文件》，其投标有可能被拒绝。</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六、投标文件中除《价格文件》外，其他部分不得有任何涉及本次投标报价的信息，否则视为无效投标。</w:t>
      </w:r>
    </w:p>
    <w:p>
      <w:pPr>
        <w:widowControl/>
        <w:ind w:firstLine="582" w:firstLineChars="200"/>
        <w:rPr>
          <w:rFonts w:cs="Times New Roman" w:asciiTheme="minorEastAsia" w:hAnsiTheme="minorEastAsia"/>
          <w:kern w:val="0"/>
          <w:sz w:val="30"/>
          <w:szCs w:val="30"/>
          <w:u w:color="000000"/>
        </w:rPr>
      </w:pPr>
      <w:r>
        <w:rPr>
          <w:rFonts w:hint="eastAsia" w:ascii="黑体" w:hAnsi="黑体" w:eastAsia="黑体" w:cs="Times New Roman"/>
          <w:kern w:val="0"/>
          <w:sz w:val="30"/>
          <w:szCs w:val="30"/>
          <w:u w:color="000000"/>
        </w:rPr>
        <w:t>七、投标人编制投标文件，应按照招标文件评审标准要求，填写指标值或评分项及其在投标文件位置页码；评审时评委依据投标文件，对投标人填写的内容进行审核确认</w:t>
      </w:r>
      <w:r>
        <w:rPr>
          <w:rFonts w:hint="eastAsia" w:cs="Times New Roman" w:asciiTheme="minorEastAsia" w:hAnsiTheme="minorEastAsia"/>
          <w:kern w:val="0"/>
          <w:sz w:val="30"/>
          <w:szCs w:val="30"/>
          <w:u w:color="000000"/>
        </w:rPr>
        <w:t>。</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八、供应商发现购买招标文件时提交的相关资料被盗用或复制，应遵循法律途径解决，追究侵权者责任。</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九、投标人应对提供的资料真实性负责，如发现投标人借用或盗用他人相关资质的，将根据国家、军队及医院供应商管理规定予以处理。</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十、开标当日，投标人授权代表需手持身份证原件、法定代表人授权书原件（法定代表人需持法定代表人资格证明书）及招标文件购买凭证进行现场点验。</w:t>
      </w:r>
    </w:p>
    <w:p>
      <w:pPr>
        <w:widowControl/>
        <w:jc w:val="left"/>
        <w:rPr>
          <w:rFonts w:ascii="方正小标宋简体" w:hAnsi="Times New Roman" w:eastAsia="方正小标宋简体" w:cs="Times New Roman"/>
          <w:kern w:val="0"/>
          <w:sz w:val="44"/>
          <w:szCs w:val="44"/>
        </w:rPr>
      </w:pPr>
      <w:r>
        <w:rPr>
          <w:rFonts w:ascii="方正小标宋简体" w:hAnsi="Times New Roman" w:eastAsia="方正小标宋简体" w:cs="Times New Roman"/>
          <w:kern w:val="0"/>
          <w:sz w:val="44"/>
          <w:szCs w:val="44"/>
        </w:rPr>
        <w:br w:type="page"/>
      </w:r>
    </w:p>
    <w:p>
      <w:pPr>
        <w:widowControl/>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目    录</w:t>
      </w:r>
    </w:p>
    <w:p>
      <w:pPr>
        <w:rPr>
          <w:rFonts w:ascii="Times New Roman" w:hAnsi="Times New Roman" w:eastAsia="宋体" w:cs="Times New Roman"/>
          <w:kern w:val="0"/>
          <w:sz w:val="36"/>
          <w:szCs w:val="36"/>
        </w:rPr>
      </w:pPr>
    </w:p>
    <w:p>
      <w:pPr>
        <w:pStyle w:val="13"/>
        <w:ind w:left="804"/>
        <w:rPr>
          <w:rFonts w:asciiTheme="minorHAnsi" w:hAnsiTheme="minorHAnsi" w:eastAsiaTheme="minorEastAsia" w:cstheme="minorBidi"/>
          <w:kern w:val="2"/>
          <w:szCs w:val="22"/>
        </w:rPr>
      </w:pPr>
      <w:r>
        <w:rPr>
          <w:rFonts w:ascii="仿宋_GB2312" w:hAnsi="宋体" w:eastAsia="仿宋_GB2312"/>
          <w:sz w:val="40"/>
          <w:szCs w:val="32"/>
        </w:rPr>
        <w:fldChar w:fldCharType="begin"/>
      </w:r>
      <w:r>
        <w:rPr>
          <w:rFonts w:ascii="仿宋_GB2312" w:hAnsi="宋体" w:eastAsia="仿宋_GB2312"/>
          <w:sz w:val="40"/>
          <w:szCs w:val="32"/>
        </w:rPr>
        <w:instrText xml:space="preserve"> TOC \o "1-3" \h \z \u </w:instrText>
      </w:r>
      <w:r>
        <w:rPr>
          <w:rFonts w:ascii="仿宋_GB2312" w:hAnsi="宋体" w:eastAsia="仿宋_GB2312"/>
          <w:sz w:val="40"/>
          <w:szCs w:val="32"/>
        </w:rPr>
        <w:fldChar w:fldCharType="separate"/>
      </w:r>
      <w:r>
        <w:fldChar w:fldCharType="begin"/>
      </w:r>
      <w:r>
        <w:instrText xml:space="preserve"> HYPERLINK \l "_Toc37172687" </w:instrText>
      </w:r>
      <w:r>
        <w:fldChar w:fldCharType="separate"/>
      </w:r>
      <w:r>
        <w:rPr>
          <w:rStyle w:val="21"/>
          <w:rFonts w:hint="eastAsia" w:ascii="黑体" w:hAnsi="黑体" w:eastAsia="黑体"/>
          <w:sz w:val="32"/>
        </w:rPr>
        <w:t>第一部分</w:t>
      </w:r>
      <w:r>
        <w:rPr>
          <w:rStyle w:val="21"/>
          <w:rFonts w:ascii="黑体" w:hAnsi="黑体" w:eastAsia="黑体"/>
          <w:sz w:val="32"/>
        </w:rPr>
        <w:t xml:space="preserve">  </w:t>
      </w:r>
      <w:r>
        <w:rPr>
          <w:rStyle w:val="21"/>
          <w:rFonts w:hint="eastAsia" w:ascii="黑体" w:hAnsi="黑体" w:eastAsia="黑体"/>
          <w:sz w:val="32"/>
        </w:rPr>
        <w:t>招标公告</w:t>
      </w:r>
      <w:r>
        <w:rPr>
          <w:sz w:val="32"/>
        </w:rPr>
        <w:tab/>
      </w:r>
      <w:r>
        <w:rPr>
          <w:sz w:val="32"/>
        </w:rPr>
        <w:fldChar w:fldCharType="begin"/>
      </w:r>
      <w:r>
        <w:rPr>
          <w:sz w:val="32"/>
        </w:rPr>
        <w:instrText xml:space="preserve"> PAGEREF _Toc37172687 \h </w:instrText>
      </w:r>
      <w:r>
        <w:rPr>
          <w:sz w:val="32"/>
        </w:rPr>
        <w:fldChar w:fldCharType="separate"/>
      </w:r>
      <w:r>
        <w:rPr>
          <w:sz w:val="32"/>
        </w:rPr>
        <w:t>1</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"_Toc37172688" </w:instrText>
      </w:r>
      <w:r>
        <w:fldChar w:fldCharType="separate"/>
      </w:r>
      <w:r>
        <w:rPr>
          <w:rStyle w:val="21"/>
          <w:rFonts w:hint="eastAsia" w:ascii="黑体" w:hAnsi="黑体" w:eastAsia="黑体"/>
          <w:sz w:val="32"/>
          <w:lang w:val="zh-CN"/>
        </w:rPr>
        <w:t>第二部分</w:t>
      </w:r>
      <w:r>
        <w:rPr>
          <w:rStyle w:val="21"/>
          <w:rFonts w:ascii="黑体" w:hAnsi="黑体" w:eastAsia="黑体"/>
          <w:sz w:val="32"/>
          <w:lang w:val="zh-CN"/>
        </w:rPr>
        <w:t xml:space="preserve">  </w:t>
      </w:r>
      <w:r>
        <w:rPr>
          <w:rStyle w:val="21"/>
          <w:rFonts w:hint="eastAsia" w:ascii="黑体" w:hAnsi="黑体" w:eastAsia="黑体"/>
          <w:sz w:val="32"/>
          <w:lang w:val="zh-CN"/>
        </w:rPr>
        <w:t>采购项目技</w:t>
      </w:r>
      <w:r>
        <w:rPr>
          <w:rStyle w:val="21"/>
          <w:rFonts w:hint="eastAsia" w:ascii="黑体" w:hAnsi="黑体" w:eastAsia="黑体" w:cs="宋体"/>
          <w:sz w:val="32"/>
          <w:lang w:val="zh-CN"/>
        </w:rPr>
        <w:t>术</w:t>
      </w:r>
      <w:r>
        <w:rPr>
          <w:rStyle w:val="21"/>
          <w:rFonts w:hint="eastAsia" w:ascii="黑体" w:hAnsi="黑体" w:eastAsia="黑体" w:cs="Dotum"/>
          <w:sz w:val="32"/>
          <w:lang w:val="zh-CN"/>
        </w:rPr>
        <w:t>和商</w:t>
      </w:r>
      <w:r>
        <w:rPr>
          <w:rStyle w:val="21"/>
          <w:rFonts w:hint="eastAsia" w:ascii="黑体" w:hAnsi="黑体" w:eastAsia="黑体" w:cs="宋体"/>
          <w:sz w:val="32"/>
          <w:lang w:val="zh-CN"/>
        </w:rPr>
        <w:t>务</w:t>
      </w:r>
      <w:r>
        <w:rPr>
          <w:rStyle w:val="21"/>
          <w:rFonts w:hint="eastAsia" w:ascii="黑体" w:hAnsi="黑体" w:eastAsia="黑体"/>
          <w:sz w:val="32"/>
          <w:lang w:val="zh-CN"/>
        </w:rPr>
        <w:t>要求</w:t>
      </w:r>
      <w:r>
        <w:rPr>
          <w:sz w:val="32"/>
        </w:rPr>
        <w:tab/>
      </w:r>
      <w:r>
        <w:rPr>
          <w:sz w:val="32"/>
        </w:rPr>
        <w:fldChar w:fldCharType="begin"/>
      </w:r>
      <w:r>
        <w:rPr>
          <w:sz w:val="32"/>
        </w:rPr>
        <w:instrText xml:space="preserve"> PAGEREF _Toc37172688 \h </w:instrText>
      </w:r>
      <w:r>
        <w:rPr>
          <w:sz w:val="32"/>
        </w:rPr>
        <w:fldChar w:fldCharType="separate"/>
      </w:r>
      <w:r>
        <w:rPr>
          <w:sz w:val="32"/>
        </w:rPr>
        <w:t>4</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"_Toc37172689" </w:instrText>
      </w:r>
      <w:r>
        <w:fldChar w:fldCharType="separate"/>
      </w:r>
      <w:r>
        <w:rPr>
          <w:rStyle w:val="21"/>
          <w:rFonts w:hint="eastAsia" w:ascii="黑体" w:hAnsi="黑体" w:eastAsia="黑体"/>
          <w:sz w:val="32"/>
        </w:rPr>
        <w:t>第三部分</w:t>
      </w:r>
      <w:r>
        <w:rPr>
          <w:rStyle w:val="21"/>
          <w:rFonts w:ascii="黑体" w:hAnsi="黑体" w:eastAsia="黑体"/>
          <w:sz w:val="32"/>
        </w:rPr>
        <w:t xml:space="preserve">  </w:t>
      </w:r>
      <w:r>
        <w:rPr>
          <w:rStyle w:val="21"/>
          <w:rFonts w:hint="eastAsia" w:ascii="黑体" w:hAnsi="黑体" w:eastAsia="黑体"/>
          <w:sz w:val="32"/>
          <w:lang w:val="zh-CN"/>
        </w:rPr>
        <w:t>投标人</w:t>
      </w:r>
      <w:r>
        <w:rPr>
          <w:rStyle w:val="21"/>
          <w:rFonts w:hint="eastAsia" w:ascii="黑体" w:hAnsi="黑体" w:eastAsia="黑体"/>
          <w:sz w:val="32"/>
        </w:rPr>
        <w:t>须知</w:t>
      </w:r>
      <w:r>
        <w:rPr>
          <w:sz w:val="32"/>
        </w:rPr>
        <w:tab/>
      </w:r>
      <w:r>
        <w:rPr>
          <w:sz w:val="32"/>
        </w:rPr>
        <w:fldChar w:fldCharType="begin"/>
      </w:r>
      <w:r>
        <w:rPr>
          <w:sz w:val="32"/>
        </w:rPr>
        <w:instrText xml:space="preserve"> PAGEREF _Toc37172689 \h </w:instrText>
      </w:r>
      <w:r>
        <w:rPr>
          <w:sz w:val="32"/>
        </w:rPr>
        <w:fldChar w:fldCharType="separate"/>
      </w:r>
      <w:r>
        <w:rPr>
          <w:sz w:val="32"/>
        </w:rPr>
        <w:t>8</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"_Toc37172690" </w:instrText>
      </w:r>
      <w:r>
        <w:fldChar w:fldCharType="separate"/>
      </w:r>
      <w:r>
        <w:rPr>
          <w:rStyle w:val="21"/>
          <w:rFonts w:hint="eastAsia" w:ascii="黑体" w:hAnsi="黑体" w:eastAsia="黑体"/>
          <w:bCs/>
          <w:sz w:val="32"/>
        </w:rPr>
        <w:t>第四部分</w:t>
      </w:r>
      <w:r>
        <w:rPr>
          <w:rStyle w:val="21"/>
          <w:rFonts w:ascii="黑体" w:hAnsi="黑体" w:eastAsia="黑体"/>
          <w:bCs/>
          <w:sz w:val="32"/>
        </w:rPr>
        <w:t xml:space="preserve">  </w:t>
      </w:r>
      <w:r>
        <w:rPr>
          <w:rStyle w:val="21"/>
          <w:rFonts w:hint="eastAsia" w:ascii="黑体" w:hAnsi="黑体" w:eastAsia="黑体"/>
          <w:bCs/>
          <w:sz w:val="32"/>
        </w:rPr>
        <w:t>合同样本</w:t>
      </w:r>
      <w:r>
        <w:rPr>
          <w:sz w:val="32"/>
        </w:rPr>
        <w:tab/>
      </w:r>
      <w:r>
        <w:rPr>
          <w:sz w:val="32"/>
        </w:rPr>
        <w:fldChar w:fldCharType="begin"/>
      </w:r>
      <w:r>
        <w:rPr>
          <w:sz w:val="32"/>
        </w:rPr>
        <w:instrText xml:space="preserve"> PAGEREF _Toc37172690 \h </w:instrText>
      </w:r>
      <w:r>
        <w:rPr>
          <w:sz w:val="32"/>
        </w:rPr>
        <w:fldChar w:fldCharType="separate"/>
      </w:r>
      <w:r>
        <w:rPr>
          <w:sz w:val="32"/>
        </w:rPr>
        <w:t>31</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"_Toc37172691" </w:instrText>
      </w:r>
      <w:r>
        <w:fldChar w:fldCharType="separate"/>
      </w:r>
      <w:r>
        <w:rPr>
          <w:rStyle w:val="21"/>
          <w:rFonts w:hint="eastAsia" w:ascii="黑体" w:hAnsi="黑体" w:eastAsia="黑体"/>
          <w:sz w:val="32"/>
        </w:rPr>
        <w:t>第五部分</w:t>
      </w:r>
      <w:r>
        <w:rPr>
          <w:rStyle w:val="21"/>
          <w:rFonts w:ascii="黑体" w:hAnsi="黑体" w:eastAsia="黑体"/>
          <w:sz w:val="32"/>
        </w:rPr>
        <w:t xml:space="preserve">  </w:t>
      </w:r>
      <w:r>
        <w:rPr>
          <w:rStyle w:val="21"/>
          <w:rFonts w:hint="eastAsia" w:ascii="黑体" w:hAnsi="黑体" w:eastAsia="黑体"/>
          <w:sz w:val="32"/>
        </w:rPr>
        <w:t>附件</w:t>
      </w:r>
      <w:r>
        <w:rPr>
          <w:rStyle w:val="21"/>
          <w:rFonts w:ascii="黑体" w:hAnsi="黑体" w:eastAsia="黑体"/>
          <w:sz w:val="32"/>
        </w:rPr>
        <w:t>/</w:t>
      </w:r>
      <w:r>
        <w:rPr>
          <w:rStyle w:val="21"/>
          <w:rFonts w:hint="eastAsia" w:ascii="黑体" w:hAnsi="黑体" w:eastAsia="黑体"/>
          <w:sz w:val="32"/>
        </w:rPr>
        <w:t>投标文件格式</w:t>
      </w:r>
      <w:r>
        <w:rPr>
          <w:sz w:val="32"/>
        </w:rPr>
        <w:tab/>
      </w:r>
      <w:r>
        <w:rPr>
          <w:sz w:val="32"/>
        </w:rPr>
        <w:fldChar w:fldCharType="begin"/>
      </w:r>
      <w:r>
        <w:rPr>
          <w:sz w:val="32"/>
        </w:rPr>
        <w:instrText xml:space="preserve"> PAGEREF _Toc37172691 \h </w:instrText>
      </w:r>
      <w:r>
        <w:rPr>
          <w:sz w:val="32"/>
        </w:rPr>
        <w:fldChar w:fldCharType="separate"/>
      </w:r>
      <w:r>
        <w:rPr>
          <w:sz w:val="32"/>
        </w:rPr>
        <w:t>34</w:t>
      </w:r>
      <w:r>
        <w:rPr>
          <w:sz w:val="32"/>
        </w:rPr>
        <w:fldChar w:fldCharType="end"/>
      </w:r>
      <w:r>
        <w:rPr>
          <w:sz w:val="32"/>
        </w:rPr>
        <w:fldChar w:fldCharType="end"/>
      </w:r>
    </w:p>
    <w:p>
      <w:pPr>
        <w:jc w:val="distribute"/>
        <w:rPr>
          <w:rFonts w:ascii="仿宋_GB2312" w:hAnsi="宋体" w:eastAsia="仿宋_GB2312" w:cs="Times New Roman"/>
          <w:kern w:val="0"/>
          <w:sz w:val="32"/>
          <w:szCs w:val="32"/>
        </w:rPr>
      </w:pPr>
      <w:r>
        <w:rPr>
          <w:rFonts w:ascii="仿宋_GB2312" w:hAnsi="宋体" w:eastAsia="仿宋_GB2312" w:cs="Times New Roman"/>
          <w:kern w:val="0"/>
          <w:sz w:val="40"/>
          <w:szCs w:val="32"/>
        </w:rPr>
        <w:fldChar w:fldCharType="end"/>
      </w:r>
    </w:p>
    <w:p>
      <w:pPr>
        <w:ind w:firstLine="462" w:firstLineChars="200"/>
        <w:rPr>
          <w:rFonts w:ascii="Times New Roman" w:hAnsi="Times New Roman" w:eastAsia="宋体" w:cs="Times New Roman"/>
          <w:kern w:val="0"/>
          <w:sz w:val="24"/>
          <w:szCs w:val="24"/>
        </w:rPr>
      </w:pPr>
    </w:p>
    <w:p>
      <w:pPr>
        <w:ind w:firstLine="462" w:firstLineChars="200"/>
        <w:rPr>
          <w:rFonts w:ascii="Times New Roman" w:hAnsi="Times New Roman" w:eastAsia="宋体" w:cs="Times New Roman"/>
          <w:kern w:val="0"/>
          <w:sz w:val="24"/>
          <w:szCs w:val="24"/>
        </w:rPr>
      </w:pPr>
    </w:p>
    <w:p>
      <w:pPr>
        <w:ind w:firstLine="462" w:firstLineChars="200"/>
        <w:rPr>
          <w:rFonts w:ascii="Times New Roman" w:hAnsi="Times New Roman" w:eastAsia="宋体" w:cs="Times New Roman"/>
          <w:kern w:val="0"/>
          <w:sz w:val="24"/>
          <w:szCs w:val="24"/>
        </w:rPr>
      </w:pPr>
    </w:p>
    <w:p>
      <w:pPr>
        <w:spacing w:beforeLines="100"/>
        <w:jc w:val="center"/>
        <w:rPr>
          <w:rFonts w:ascii="Times New Roman" w:hAnsi="Times New Roman" w:eastAsia="华文中宋" w:cs="Times New Roman"/>
          <w:kern w:val="0"/>
          <w:sz w:val="44"/>
          <w:szCs w:val="44"/>
        </w:rPr>
        <w:sectPr>
          <w:pgSz w:w="11906" w:h="16838"/>
          <w:pgMar w:top="2098" w:right="1474" w:bottom="1985" w:left="1588" w:header="851" w:footer="992" w:gutter="0"/>
          <w:pgNumType w:fmt="numberInDash"/>
          <w:cols w:space="425" w:num="1"/>
          <w:docGrid w:type="linesAndChars" w:linePitch="579" w:charSpace="-1844"/>
        </w:sectPr>
      </w:pPr>
      <w:bookmarkStart w:id="0" w:name="_Toc240432228"/>
    </w:p>
    <w:p>
      <w:pPr>
        <w:pStyle w:val="2"/>
        <w:jc w:val="center"/>
        <w:rPr>
          <w:rFonts w:ascii="黑体" w:hAnsi="黑体" w:eastAsia="黑体"/>
          <w:kern w:val="0"/>
          <w:sz w:val="32"/>
          <w:szCs w:val="32"/>
        </w:rPr>
      </w:pPr>
      <w:bookmarkStart w:id="1" w:name="_Toc285612593"/>
      <w:bookmarkStart w:id="2" w:name="_Toc435540978"/>
      <w:bookmarkStart w:id="3" w:name="_Toc37172687"/>
      <w:r>
        <w:rPr>
          <w:rFonts w:hint="eastAsia" w:ascii="黑体" w:hAnsi="黑体" w:eastAsia="黑体"/>
          <w:kern w:val="0"/>
          <w:sz w:val="32"/>
          <w:szCs w:val="32"/>
        </w:rPr>
        <w:t>第一部分</w:t>
      </w:r>
      <w:bookmarkEnd w:id="1"/>
      <w:bookmarkEnd w:id="2"/>
      <w:r>
        <w:rPr>
          <w:rFonts w:hint="eastAsia" w:ascii="黑体" w:hAnsi="黑体" w:eastAsia="黑体"/>
          <w:kern w:val="0"/>
          <w:sz w:val="32"/>
          <w:szCs w:val="32"/>
        </w:rPr>
        <w:t xml:space="preserve">  招标公告</w:t>
      </w:r>
      <w:bookmarkEnd w:id="0"/>
      <w:bookmarkEnd w:id="3"/>
    </w:p>
    <w:p>
      <w:pPr>
        <w:adjustRightInd w:val="0"/>
        <w:snapToGrid w:val="0"/>
        <w:spacing w:line="440" w:lineRule="exact"/>
        <w:jc w:val="center"/>
        <w:rPr>
          <w:rFonts w:hint="eastAsia" w:ascii="Tahoma" w:hAnsi="Tahoma" w:cs="Tahoma" w:eastAsiaTheme="minorEastAsia"/>
          <w:b/>
          <w:bCs/>
          <w:kern w:val="0"/>
          <w:sz w:val="28"/>
          <w:szCs w:val="28"/>
          <w:lang w:eastAsia="zh-CN"/>
        </w:rPr>
      </w:pPr>
      <w:r>
        <w:rPr>
          <w:rFonts w:hint="eastAsia" w:ascii="Tahoma" w:hAnsi="Tahoma" w:cs="Tahoma"/>
          <w:b/>
          <w:bCs/>
          <w:kern w:val="0"/>
          <w:sz w:val="28"/>
          <w:szCs w:val="28"/>
        </w:rPr>
        <w:t>关于</w:t>
      </w:r>
      <w:r>
        <w:rPr>
          <w:rFonts w:hint="eastAsia" w:ascii="Tahoma" w:hAnsi="Tahoma" w:cs="Tahoma"/>
          <w:b/>
          <w:bCs/>
          <w:kern w:val="0"/>
          <w:sz w:val="28"/>
          <w:szCs w:val="28"/>
          <w:lang w:eastAsia="zh-CN"/>
        </w:rPr>
        <w:t>除颤仪</w:t>
      </w:r>
      <w:r>
        <w:rPr>
          <w:rFonts w:hint="eastAsia" w:ascii="Tahoma" w:hAnsi="Tahoma" w:cs="Tahoma"/>
          <w:b/>
          <w:bCs/>
          <w:kern w:val="0"/>
          <w:sz w:val="28"/>
          <w:szCs w:val="28"/>
        </w:rPr>
        <w:t>的采购</w:t>
      </w:r>
      <w:r>
        <w:rPr>
          <w:rFonts w:ascii="Tahoma" w:hAnsi="Tahoma" w:cs="Tahoma"/>
          <w:b/>
          <w:bCs/>
          <w:kern w:val="0"/>
          <w:sz w:val="28"/>
          <w:szCs w:val="28"/>
        </w:rPr>
        <w:t>公告</w:t>
      </w:r>
      <w:r>
        <w:rPr>
          <w:rFonts w:hint="eastAsia" w:ascii="Tahoma" w:hAnsi="Tahoma" w:cs="Tahoma"/>
          <w:kern w:val="0"/>
          <w:sz w:val="28"/>
          <w:szCs w:val="28"/>
          <w:lang w:eastAsia="zh-CN"/>
        </w:rPr>
        <w:t>2020-JL13(03)-W10086</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我院就以下项目进行国内公开招标，采购资金已全部落实，欢迎符合条件的供应商参加投标。</w:t>
      </w:r>
    </w:p>
    <w:p>
      <w:pPr>
        <w:numPr>
          <w:ilvl w:val="0"/>
          <w:numId w:val="1"/>
        </w:num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cs="Times New Roman" w:asciiTheme="minorEastAsia" w:hAnsiTheme="minorEastAsia"/>
          <w:b/>
          <w:kern w:val="0"/>
          <w:sz w:val="24"/>
          <w:szCs w:val="24"/>
        </w:rPr>
        <w:t>项目名称：</w:t>
      </w:r>
      <w:r>
        <w:rPr>
          <w:rFonts w:hint="eastAsia" w:cs="Times New Roman" w:asciiTheme="minorEastAsia" w:hAnsiTheme="minorEastAsia"/>
          <w:b/>
          <w:kern w:val="0"/>
          <w:sz w:val="24"/>
          <w:szCs w:val="24"/>
          <w:lang w:eastAsia="zh-CN"/>
        </w:rPr>
        <w:t>除颤仪</w:t>
      </w:r>
    </w:p>
    <w:p>
      <w:pPr>
        <w:tabs>
          <w:tab w:val="left" w:pos="0"/>
          <w:tab w:val="left" w:pos="1122"/>
        </w:tabs>
        <w:adjustRightInd w:val="0"/>
        <w:snapToGrid w:val="0"/>
        <w:spacing w:line="440" w:lineRule="exact"/>
        <w:ind w:firstLine="462" w:firstLineChars="200"/>
        <w:rPr>
          <w:rFonts w:hint="eastAsia" w:cs="Times New Roman" w:asciiTheme="minorEastAsia" w:hAnsiTheme="minorEastAsia" w:eastAsiaTheme="minorEastAsia"/>
          <w:b/>
          <w:kern w:val="0"/>
          <w:sz w:val="24"/>
          <w:szCs w:val="24"/>
          <w:lang w:eastAsia="zh-CN"/>
        </w:rPr>
      </w:pPr>
      <w:r>
        <w:rPr>
          <w:rFonts w:hint="eastAsia" w:cs="Times New Roman" w:asciiTheme="minorEastAsia" w:hAnsiTheme="minorEastAsia"/>
          <w:b/>
          <w:kern w:val="0"/>
          <w:sz w:val="24"/>
          <w:szCs w:val="24"/>
        </w:rPr>
        <w:t>二、</w:t>
      </w:r>
      <w:r>
        <w:rPr>
          <w:rFonts w:cs="Times New Roman" w:asciiTheme="minorEastAsia" w:hAnsiTheme="minorEastAsia"/>
          <w:b/>
          <w:kern w:val="0"/>
          <w:sz w:val="24"/>
          <w:szCs w:val="24"/>
        </w:rPr>
        <w:t>项目编号：</w:t>
      </w:r>
      <w:r>
        <w:rPr>
          <w:rFonts w:hint="eastAsia" w:cs="Times New Roman" w:asciiTheme="minorEastAsia" w:hAnsiTheme="minorEastAsia"/>
          <w:b/>
          <w:kern w:val="0"/>
          <w:sz w:val="24"/>
          <w:szCs w:val="24"/>
          <w:lang w:eastAsia="zh-CN"/>
        </w:rPr>
        <w:t>2020-JL13(03)-W10086</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三、项目概况</w:t>
      </w:r>
      <w:r>
        <w:rPr>
          <w:rFonts w:cs="Times New Roman" w:asciiTheme="minorEastAsia" w:hAnsiTheme="minorEastAsia"/>
          <w:b/>
          <w:kern w:val="0"/>
          <w:sz w:val="24"/>
          <w:szCs w:val="24"/>
        </w:rPr>
        <w:t>：</w:t>
      </w:r>
    </w:p>
    <w:tbl>
      <w:tblPr>
        <w:tblStyle w:val="17"/>
        <w:tblW w:w="50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440"/>
        <w:gridCol w:w="709"/>
        <w:gridCol w:w="1559"/>
        <w:gridCol w:w="709"/>
        <w:gridCol w:w="796"/>
        <w:gridCol w:w="1472"/>
        <w:gridCol w:w="851"/>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包号</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货物</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名称</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规格</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型号</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技术要求</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计量</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单位</w:t>
            </w:r>
          </w:p>
        </w:tc>
        <w:tc>
          <w:tcPr>
            <w:tcW w:w="7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数量</w:t>
            </w: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交货</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时间</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交货</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地点</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1</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除颤仪</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详见招标文件第二部分</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台</w:t>
            </w:r>
          </w:p>
        </w:tc>
        <w:tc>
          <w:tcPr>
            <w:tcW w:w="7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cs="Times New Roman" w:asciiTheme="minorEastAsia" w:hAnsiTheme="minorEastAsia" w:eastAsiaTheme="minorEastAsia"/>
                <w:szCs w:val="21"/>
                <w:lang w:eastAsia="zh-CN"/>
              </w:rPr>
            </w:pPr>
            <w:r>
              <w:rPr>
                <w:rFonts w:hint="eastAsia" w:cs="Times New Roman" w:asciiTheme="minorEastAsia" w:hAnsiTheme="minorEastAsia"/>
                <w:szCs w:val="21"/>
                <w:lang w:val="en-US" w:eastAsia="zh-CN"/>
              </w:rPr>
              <w:t>8</w:t>
            </w: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合同签订后90个日历日</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重庆市</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napToGrid w:val="0"/>
                <w:kern w:val="0"/>
                <w:szCs w:val="21"/>
              </w:rPr>
              <w:t>说明</w:t>
            </w:r>
          </w:p>
        </w:tc>
        <w:tc>
          <w:tcPr>
            <w:tcW w:w="8255"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1.</w:t>
            </w:r>
            <w:r>
              <w:rPr>
                <w:rFonts w:hint="eastAsia" w:cs="Times New Roman" w:asciiTheme="minorEastAsia" w:hAnsiTheme="minorEastAsia"/>
                <w:kern w:val="0"/>
                <w:szCs w:val="21"/>
              </w:rPr>
              <w:t>投标人须对所投包内所有产品和数量进行投标报价，否则视为无效投标。</w:t>
            </w:r>
          </w:p>
          <w:p>
            <w:pPr>
              <w:adjustRightInd w:val="0"/>
              <w:snapToGrid w:val="0"/>
              <w:rPr>
                <w:rFonts w:cs="Times New Roman" w:asciiTheme="minorEastAsia" w:hAnsiTheme="minorEastAsia"/>
                <w:szCs w:val="21"/>
              </w:rPr>
            </w:pPr>
            <w:r>
              <w:rPr>
                <w:rFonts w:hint="eastAsia" w:cs="Times New Roman" w:asciiTheme="minorEastAsia" w:hAnsiTheme="minorEastAsia"/>
                <w:kern w:val="0"/>
                <w:szCs w:val="21"/>
              </w:rPr>
              <w:t>2.</w:t>
            </w:r>
            <w:r>
              <w:rPr>
                <w:rFonts w:hint="eastAsia" w:ascii="宋体" w:hAnsi="宋体"/>
                <w:color w:val="FF0000"/>
              </w:rPr>
              <w:t xml:space="preserve"> </w:t>
            </w:r>
            <w:r>
              <w:rPr>
                <w:rFonts w:hint="eastAsia" w:ascii="宋体" w:hAnsi="宋体"/>
              </w:rPr>
              <w:t>投标报价应包括所有货物供应、运输、安装、培训、售后服务价格。</w:t>
            </w:r>
          </w:p>
        </w:tc>
      </w:tr>
    </w:tbl>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四、投标人</w:t>
      </w:r>
      <w:r>
        <w:rPr>
          <w:rFonts w:cs="Times New Roman" w:asciiTheme="minorEastAsia" w:hAnsiTheme="minorEastAsia"/>
          <w:b/>
          <w:kern w:val="0"/>
          <w:sz w:val="24"/>
          <w:szCs w:val="24"/>
        </w:rPr>
        <w:t>资格条件：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（一）符合《中华人民共和国政府采购法》第二十二条资格条件：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1.具有独立承担民事责任的能力；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2.具有良好的商业信誉和健全的财务会计制度；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3.具有履行合同所必需的设备和专业技术能力；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4.有依法缴纳税收和社会保障资金的良好记录；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5.参加政府采购活动前3年内，在经营活动中没有重大违法记录；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6.法律、行政法规规定的其他条件。</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（二）供应商成立时间不少于1年。</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（三）非外资独资或外资控股企业。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（五）本项目不接受联合体投标。</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（六）注册资金</w:t>
      </w:r>
      <w:r>
        <w:rPr>
          <w:rFonts w:cs="Times New Roman" w:asciiTheme="minorEastAsia" w:hAnsiTheme="minorEastAsia"/>
          <w:kern w:val="0"/>
          <w:sz w:val="24"/>
          <w:szCs w:val="24"/>
        </w:rPr>
        <w:t>200</w:t>
      </w:r>
      <w:r>
        <w:rPr>
          <w:rFonts w:hint="eastAsia" w:cs="Times New Roman" w:asciiTheme="minorEastAsia" w:hAnsiTheme="minorEastAsia"/>
          <w:kern w:val="0"/>
          <w:sz w:val="24"/>
          <w:szCs w:val="24"/>
        </w:rPr>
        <w:t>万（含）以上生产或销售型企业。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（七）投标人应具备本项目生产或者销售范围（以投标人提供的营业执照、经营许可证为准）。</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（八）具备生产许可证、特许经营许可证、医疗器械注册证、质量管理体系认证、</w:t>
      </w:r>
      <w:r>
        <w:rPr>
          <w:rFonts w:cs="Times New Roman" w:asciiTheme="minorEastAsia" w:hAnsiTheme="minorEastAsia"/>
          <w:kern w:val="0"/>
          <w:sz w:val="24"/>
          <w:szCs w:val="24"/>
        </w:rPr>
        <w:t>3C</w:t>
      </w:r>
      <w:r>
        <w:rPr>
          <w:rFonts w:hint="eastAsia" w:cs="Times New Roman" w:asciiTheme="minorEastAsia" w:hAnsiTheme="minorEastAsia"/>
          <w:kern w:val="0"/>
          <w:sz w:val="24"/>
          <w:szCs w:val="24"/>
        </w:rPr>
        <w:t>认证等相关行业资质。</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五、招标</w:t>
      </w:r>
      <w:r>
        <w:rPr>
          <w:rFonts w:cs="Times New Roman" w:asciiTheme="minorEastAsia" w:hAnsiTheme="minorEastAsia"/>
          <w:b/>
          <w:kern w:val="0"/>
          <w:sz w:val="24"/>
          <w:szCs w:val="24"/>
        </w:rPr>
        <w:t>文件发售时间、地点、方式及售价</w:t>
      </w:r>
    </w:p>
    <w:p>
      <w:pPr>
        <w:tabs>
          <w:tab w:val="left" w:pos="0"/>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kern w:val="0"/>
          <w:sz w:val="24"/>
          <w:szCs w:val="24"/>
        </w:rPr>
        <w:t>（一）</w:t>
      </w:r>
      <w:r>
        <w:rPr>
          <w:rFonts w:hint="eastAsia" w:cs="Times New Roman" w:asciiTheme="minorEastAsia" w:hAnsiTheme="minorEastAsia"/>
          <w:color w:val="auto"/>
          <w:kern w:val="0"/>
          <w:sz w:val="24"/>
          <w:szCs w:val="24"/>
        </w:rPr>
        <w:t>发售时间：</w:t>
      </w:r>
      <w:r>
        <w:rPr>
          <w:rFonts w:hint="eastAsia" w:cs="Times New Roman" w:asciiTheme="minorEastAsia" w:hAnsiTheme="minorEastAsia"/>
          <w:color w:val="auto"/>
          <w:kern w:val="0"/>
          <w:sz w:val="24"/>
          <w:szCs w:val="24"/>
          <w:u w:val="single"/>
        </w:rPr>
        <w:t xml:space="preserve"> 2020 </w:t>
      </w:r>
      <w:r>
        <w:rPr>
          <w:rFonts w:hint="eastAsia" w:cs="Times New Roman" w:asciiTheme="minorEastAsia" w:hAnsiTheme="minorEastAsia"/>
          <w:color w:val="auto"/>
          <w:kern w:val="0"/>
          <w:sz w:val="24"/>
          <w:szCs w:val="24"/>
        </w:rPr>
        <w:t>年</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11</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月</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17</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日至</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11</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月</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24</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日（08:00—11:30，15:00—17:00）（北京时间、节假日除外）。</w:t>
      </w:r>
    </w:p>
    <w:p>
      <w:pPr>
        <w:tabs>
          <w:tab w:val="left" w:pos="0"/>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（二）发售地点：</w:t>
      </w:r>
      <w:r>
        <w:rPr>
          <w:rFonts w:hint="eastAsia" w:cs="Times New Roman" w:asciiTheme="minorEastAsia" w:hAnsiTheme="minorEastAsia"/>
          <w:color w:val="auto"/>
          <w:kern w:val="0"/>
          <w:sz w:val="24"/>
          <w:szCs w:val="24"/>
          <w:u w:val="single"/>
        </w:rPr>
        <w:t xml:space="preserve">   重庆市  </w:t>
      </w:r>
      <w:r>
        <w:rPr>
          <w:rFonts w:hint="eastAsia" w:cs="Times New Roman" w:asciiTheme="minorEastAsia" w:hAnsiTheme="minorEastAsia"/>
          <w:color w:val="auto"/>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color w:val="auto"/>
          <w:kern w:val="0"/>
          <w:sz w:val="24"/>
          <w:szCs w:val="24"/>
        </w:rPr>
        <w:t>（三）发售方式：投标人指定专人现场领取，不接受邮寄等其他方式。</w:t>
      </w:r>
      <w:r>
        <w:rPr>
          <w:rFonts w:hint="eastAsia" w:cs="Times New Roman" w:asciiTheme="minorEastAsia" w:hAnsiTheme="minorEastAsia"/>
          <w:kern w:val="0"/>
          <w:sz w:val="24"/>
          <w:szCs w:val="24"/>
        </w:rPr>
        <w:t>投标人购买招标文件时需提供以下材料原件或装订成册加盖单位公章的复印件1份。</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7.最近连续6个月缴纳社会保障金的银行转账汇款单或相应证明材料（依法不需要缴纳社会保障资金的报价方，应提供相应文件证明其不需要缴纳社会保障资金）；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8.最近连续6个月纳税的银行转账汇款单或相应证明材料（依法免税的报价方，应提供相应文件证明其依法免税）；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w:t>
      </w:r>
      <w:r>
        <w:rPr>
          <w:rFonts w:hint="eastAsia"/>
        </w:rPr>
        <w:t xml:space="preserve"> </w:t>
      </w:r>
      <w:r>
        <w:rPr>
          <w:rFonts w:hint="eastAsia" w:cs="Times New Roman" w:asciiTheme="minorEastAsia" w:hAnsiTheme="minorEastAsia"/>
          <w:kern w:val="0"/>
          <w:sz w:val="24"/>
          <w:szCs w:val="24"/>
        </w:rPr>
        <w:t>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 相关声明书（包含但不限于以下内容）：①非外资企业或外资控股企业的书面声明；②参加本次采购活动前3年内在经营活动中没有重大违法记录的书面声明；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11.医疗器械经营许可证或二类备案凭证（需具备相应产品经营资格)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 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 生产企业《医疗器械生产许可证》（需具备相应的产品生产资格，进口产品提供国内总代理相关经营许可证）；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14.产品《医疗器械产品注册证》；</w:t>
      </w:r>
    </w:p>
    <w:p>
      <w:pPr>
        <w:tabs>
          <w:tab w:val="left" w:pos="0"/>
        </w:tabs>
        <w:adjustRightInd w:val="0"/>
        <w:snapToGrid w:val="0"/>
        <w:spacing w:line="440" w:lineRule="exact"/>
        <w:ind w:firstLine="462" w:firstLineChars="200"/>
        <w:rPr>
          <w:rFonts w:hint="eastAsia" w:cs="Times New Roman" w:asciiTheme="minorEastAsia" w:hAnsiTheme="minorEastAsia"/>
          <w:kern w:val="0"/>
          <w:sz w:val="24"/>
          <w:szCs w:val="24"/>
        </w:rPr>
      </w:pPr>
      <w:r>
        <w:rPr>
          <w:rFonts w:hint="eastAsia" w:cs="Times New Roman" w:asciiTheme="minorEastAsia" w:hAnsiTheme="minorEastAsia"/>
          <w:kern w:val="0"/>
          <w:sz w:val="24"/>
          <w:szCs w:val="24"/>
        </w:rPr>
        <w:t>15.</w:t>
      </w:r>
      <w:r>
        <w:rPr>
          <w:rFonts w:hint="eastAsia"/>
        </w:rPr>
        <w:t xml:space="preserve"> </w:t>
      </w:r>
      <w:r>
        <w:rPr>
          <w:rFonts w:hint="eastAsia" w:cs="Times New Roman" w:asciiTheme="minorEastAsia" w:hAnsiTheme="minorEastAsia"/>
          <w:kern w:val="0"/>
          <w:sz w:val="24"/>
          <w:szCs w:val="24"/>
        </w:rPr>
        <w:t>生产企业对代理公司参与报价的授权书（进口产品需提供原产厂家对中国总代的中英文授权书复印件或同步翻译件）。</w:t>
      </w:r>
    </w:p>
    <w:p>
      <w:pPr>
        <w:tabs>
          <w:tab w:val="left" w:pos="0"/>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（四）招标文件售价：200元/份，售后不退。</w:t>
      </w:r>
    </w:p>
    <w:p>
      <w:pPr>
        <w:tabs>
          <w:tab w:val="left" w:pos="0"/>
          <w:tab w:val="left" w:pos="1122"/>
        </w:tabs>
        <w:adjustRightInd w:val="0"/>
        <w:snapToGrid w:val="0"/>
        <w:spacing w:line="440" w:lineRule="exact"/>
        <w:ind w:firstLine="462" w:firstLineChars="200"/>
        <w:rPr>
          <w:rFonts w:cs="Times New Roman" w:asciiTheme="minorEastAsia" w:hAnsiTheme="minorEastAsia"/>
          <w:b/>
          <w:color w:val="auto"/>
          <w:kern w:val="0"/>
          <w:sz w:val="24"/>
          <w:szCs w:val="24"/>
        </w:rPr>
      </w:pPr>
      <w:r>
        <w:rPr>
          <w:rFonts w:hint="eastAsia" w:cs="Times New Roman" w:asciiTheme="minorEastAsia" w:hAnsiTheme="minorEastAsia"/>
          <w:b/>
          <w:color w:val="auto"/>
          <w:kern w:val="0"/>
          <w:sz w:val="24"/>
          <w:szCs w:val="24"/>
        </w:rPr>
        <w:t>六、投标开始和截止</w:t>
      </w:r>
      <w:r>
        <w:rPr>
          <w:rFonts w:cs="Times New Roman" w:asciiTheme="minorEastAsia" w:hAnsiTheme="minorEastAsia"/>
          <w:b/>
          <w:color w:val="auto"/>
          <w:kern w:val="0"/>
          <w:sz w:val="24"/>
          <w:szCs w:val="24"/>
        </w:rPr>
        <w:t>时间</w:t>
      </w:r>
      <w:r>
        <w:rPr>
          <w:rFonts w:hint="eastAsia" w:cs="Times New Roman" w:asciiTheme="minorEastAsia" w:hAnsiTheme="minorEastAsia"/>
          <w:b/>
          <w:color w:val="auto"/>
          <w:kern w:val="0"/>
          <w:sz w:val="24"/>
          <w:szCs w:val="24"/>
        </w:rPr>
        <w:t>及</w:t>
      </w:r>
      <w:r>
        <w:rPr>
          <w:rFonts w:cs="Times New Roman" w:asciiTheme="minorEastAsia" w:hAnsiTheme="minorEastAsia"/>
          <w:b/>
          <w:color w:val="auto"/>
          <w:kern w:val="0"/>
          <w:sz w:val="24"/>
          <w:szCs w:val="24"/>
        </w:rPr>
        <w:t>地点</w:t>
      </w:r>
      <w:r>
        <w:rPr>
          <w:rFonts w:hint="eastAsia" w:cs="Times New Roman" w:asciiTheme="minorEastAsia" w:hAnsiTheme="minorEastAsia"/>
          <w:b/>
          <w:color w:val="auto"/>
          <w:kern w:val="0"/>
          <w:sz w:val="24"/>
          <w:szCs w:val="24"/>
        </w:rPr>
        <w:t>、方式</w:t>
      </w:r>
    </w:p>
    <w:p>
      <w:pPr>
        <w:tabs>
          <w:tab w:val="left" w:pos="0"/>
          <w:tab w:val="left" w:pos="1122"/>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（一）投标开始时间：</w:t>
      </w:r>
      <w:r>
        <w:rPr>
          <w:rFonts w:hint="eastAsia" w:cs="Times New Roman" w:asciiTheme="minorEastAsia" w:hAnsiTheme="minorEastAsia"/>
          <w:color w:val="auto"/>
          <w:kern w:val="0"/>
          <w:sz w:val="24"/>
          <w:szCs w:val="24"/>
          <w:u w:val="single"/>
        </w:rPr>
        <w:t xml:space="preserve"> 2020</w:t>
      </w:r>
      <w:r>
        <w:rPr>
          <w:rFonts w:hint="eastAsia" w:cs="Times New Roman" w:asciiTheme="minorEastAsia" w:hAnsiTheme="minorEastAsia"/>
          <w:color w:val="auto"/>
          <w:kern w:val="0"/>
          <w:sz w:val="24"/>
          <w:szCs w:val="24"/>
        </w:rPr>
        <w:t>年</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12</w:t>
      </w:r>
      <w:r>
        <w:rPr>
          <w:rFonts w:hint="eastAsia" w:cs="Times New Roman" w:asciiTheme="minorEastAsia" w:hAnsiTheme="minorEastAsia"/>
          <w:color w:val="auto"/>
          <w:kern w:val="0"/>
          <w:sz w:val="24"/>
          <w:szCs w:val="24"/>
        </w:rPr>
        <w:t>月</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9</w:t>
      </w:r>
      <w:r>
        <w:rPr>
          <w:rFonts w:hint="eastAsia" w:cs="Times New Roman" w:asciiTheme="minorEastAsia" w:hAnsiTheme="minorEastAsia"/>
          <w:color w:val="auto"/>
          <w:kern w:val="0"/>
          <w:sz w:val="24"/>
          <w:szCs w:val="24"/>
        </w:rPr>
        <w:t>日</w:t>
      </w:r>
      <w:r>
        <w:rPr>
          <w:rFonts w:hint="eastAsia" w:cs="Times New Roman" w:asciiTheme="minorEastAsia" w:hAnsiTheme="minorEastAsia"/>
          <w:color w:val="auto"/>
          <w:kern w:val="0"/>
          <w:sz w:val="24"/>
          <w:szCs w:val="24"/>
          <w:u w:val="single"/>
        </w:rPr>
        <w:t xml:space="preserve"> 8</w:t>
      </w:r>
      <w:r>
        <w:rPr>
          <w:rFonts w:hint="eastAsia" w:cs="Times New Roman" w:asciiTheme="minorEastAsia" w:hAnsiTheme="minorEastAsia"/>
          <w:color w:val="auto"/>
          <w:kern w:val="0"/>
          <w:sz w:val="24"/>
          <w:szCs w:val="24"/>
        </w:rPr>
        <w:t>时</w:t>
      </w:r>
      <w:r>
        <w:rPr>
          <w:rFonts w:hint="eastAsia" w:cs="Times New Roman" w:asciiTheme="minorEastAsia" w:hAnsiTheme="minorEastAsia"/>
          <w:color w:val="auto"/>
          <w:kern w:val="0"/>
          <w:sz w:val="24"/>
          <w:szCs w:val="24"/>
          <w:u w:val="single"/>
        </w:rPr>
        <w:t xml:space="preserve"> 0 </w:t>
      </w:r>
      <w:r>
        <w:rPr>
          <w:rFonts w:hint="eastAsia" w:cs="Times New Roman" w:asciiTheme="minorEastAsia" w:hAnsiTheme="minorEastAsia"/>
          <w:color w:val="auto"/>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（二）投标截止时间：</w:t>
      </w:r>
      <w:r>
        <w:rPr>
          <w:rFonts w:hint="eastAsia" w:cs="Times New Roman" w:asciiTheme="minorEastAsia" w:hAnsiTheme="minorEastAsia"/>
          <w:color w:val="auto"/>
          <w:kern w:val="0"/>
          <w:sz w:val="24"/>
          <w:szCs w:val="24"/>
          <w:u w:val="single"/>
        </w:rPr>
        <w:t xml:space="preserve"> 2020 </w:t>
      </w:r>
      <w:r>
        <w:rPr>
          <w:rFonts w:hint="eastAsia" w:cs="Times New Roman" w:asciiTheme="minorEastAsia" w:hAnsiTheme="minorEastAsia"/>
          <w:color w:val="auto"/>
          <w:kern w:val="0"/>
          <w:sz w:val="24"/>
          <w:szCs w:val="24"/>
        </w:rPr>
        <w:t>年</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12</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月</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9</w:t>
      </w:r>
      <w:r>
        <w:rPr>
          <w:rFonts w:hint="eastAsia" w:cs="Times New Roman" w:asciiTheme="minorEastAsia" w:hAnsiTheme="minorEastAsia"/>
          <w:color w:val="auto"/>
          <w:kern w:val="0"/>
          <w:sz w:val="24"/>
          <w:szCs w:val="24"/>
        </w:rPr>
        <w:t>日</w:t>
      </w:r>
      <w:r>
        <w:rPr>
          <w:rFonts w:hint="eastAsia" w:cs="Times New Roman" w:asciiTheme="minorEastAsia" w:hAnsiTheme="minorEastAsia"/>
          <w:color w:val="auto"/>
          <w:kern w:val="0"/>
          <w:sz w:val="24"/>
          <w:szCs w:val="24"/>
          <w:u w:val="single"/>
        </w:rPr>
        <w:t xml:space="preserve"> 9 </w:t>
      </w:r>
      <w:r>
        <w:rPr>
          <w:rFonts w:hint="eastAsia" w:cs="Times New Roman" w:asciiTheme="minorEastAsia" w:hAnsiTheme="minorEastAsia"/>
          <w:color w:val="auto"/>
          <w:kern w:val="0"/>
          <w:sz w:val="24"/>
          <w:szCs w:val="24"/>
        </w:rPr>
        <w:t>时</w:t>
      </w:r>
      <w:r>
        <w:rPr>
          <w:rFonts w:hint="eastAsia" w:cs="Times New Roman" w:asciiTheme="minorEastAsia" w:hAnsiTheme="minorEastAsia"/>
          <w:color w:val="auto"/>
          <w:kern w:val="0"/>
          <w:sz w:val="24"/>
          <w:szCs w:val="24"/>
          <w:u w:val="single"/>
        </w:rPr>
        <w:t xml:space="preserve"> 0 </w:t>
      </w:r>
      <w:r>
        <w:rPr>
          <w:rFonts w:hint="eastAsia" w:cs="Times New Roman" w:asciiTheme="minorEastAsia" w:hAnsiTheme="minorEastAsia"/>
          <w:color w:val="auto"/>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（三）投标地点：</w:t>
      </w:r>
      <w:r>
        <w:rPr>
          <w:rFonts w:hint="eastAsia" w:cs="Times New Roman" w:asciiTheme="minorEastAsia" w:hAnsiTheme="minorEastAsia"/>
          <w:color w:val="auto"/>
          <w:kern w:val="0"/>
          <w:sz w:val="24"/>
          <w:szCs w:val="24"/>
          <w:u w:val="single"/>
        </w:rPr>
        <w:t xml:space="preserve">    重庆市      </w:t>
      </w:r>
      <w:r>
        <w:rPr>
          <w:rFonts w:hint="eastAsia" w:cs="Times New Roman" w:asciiTheme="minorEastAsia" w:hAnsiTheme="minorEastAsia"/>
          <w:color w:val="auto"/>
          <w:kern w:val="0"/>
          <w:sz w:val="24"/>
          <w:szCs w:val="24"/>
        </w:rPr>
        <w:t>。</w:t>
      </w:r>
    </w:p>
    <w:p>
      <w:pPr>
        <w:tabs>
          <w:tab w:val="left" w:pos="0"/>
          <w:tab w:val="left" w:pos="1122"/>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（四）投标方式：指定专人递交投标文件，不接受邮寄等其他方式。</w:t>
      </w:r>
    </w:p>
    <w:p>
      <w:pPr>
        <w:tabs>
          <w:tab w:val="left" w:pos="0"/>
          <w:tab w:val="left" w:pos="1122"/>
        </w:tabs>
        <w:adjustRightInd w:val="0"/>
        <w:snapToGrid w:val="0"/>
        <w:spacing w:line="440" w:lineRule="exact"/>
        <w:ind w:firstLine="462" w:firstLineChars="200"/>
        <w:rPr>
          <w:rFonts w:cs="Times New Roman" w:asciiTheme="minorEastAsia" w:hAnsiTheme="minorEastAsia"/>
          <w:b/>
          <w:color w:val="auto"/>
          <w:kern w:val="0"/>
          <w:sz w:val="24"/>
          <w:szCs w:val="24"/>
        </w:rPr>
      </w:pPr>
      <w:r>
        <w:rPr>
          <w:rFonts w:hint="eastAsia" w:cs="Times New Roman" w:asciiTheme="minorEastAsia" w:hAnsiTheme="minorEastAsia"/>
          <w:b/>
          <w:color w:val="auto"/>
          <w:kern w:val="0"/>
          <w:sz w:val="24"/>
          <w:szCs w:val="24"/>
        </w:rPr>
        <w:t>七、</w:t>
      </w:r>
      <w:r>
        <w:rPr>
          <w:rFonts w:hint="eastAsia" w:cs="Times New Roman" w:asciiTheme="minorEastAsia" w:hAnsiTheme="minorEastAsia"/>
          <w:b/>
          <w:color w:val="auto"/>
          <w:kern w:val="0"/>
          <w:sz w:val="24"/>
          <w:szCs w:val="24"/>
        </w:rPr>
        <w:tab/>
      </w:r>
      <w:r>
        <w:rPr>
          <w:rFonts w:hint="eastAsia" w:cs="Times New Roman" w:asciiTheme="minorEastAsia" w:hAnsiTheme="minorEastAsia"/>
          <w:b/>
          <w:color w:val="auto"/>
          <w:kern w:val="0"/>
          <w:sz w:val="24"/>
          <w:szCs w:val="24"/>
        </w:rPr>
        <w:t>开标时间、地点</w:t>
      </w:r>
    </w:p>
    <w:p>
      <w:pPr>
        <w:tabs>
          <w:tab w:val="left" w:pos="0"/>
          <w:tab w:val="left" w:pos="1122"/>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（一）</w:t>
      </w:r>
      <w:r>
        <w:rPr>
          <w:rFonts w:hint="eastAsia" w:cs="Times New Roman" w:asciiTheme="minorEastAsia" w:hAnsiTheme="minorEastAsia"/>
          <w:color w:val="auto"/>
          <w:kern w:val="0"/>
          <w:sz w:val="24"/>
          <w:szCs w:val="24"/>
        </w:rPr>
        <w:tab/>
      </w:r>
      <w:r>
        <w:rPr>
          <w:rFonts w:hint="eastAsia" w:cs="Times New Roman" w:asciiTheme="minorEastAsia" w:hAnsiTheme="minorEastAsia"/>
          <w:color w:val="auto"/>
          <w:kern w:val="0"/>
          <w:sz w:val="24"/>
          <w:szCs w:val="24"/>
        </w:rPr>
        <w:t>开标时间：</w:t>
      </w:r>
      <w:r>
        <w:rPr>
          <w:rFonts w:hint="eastAsia" w:cs="Times New Roman" w:asciiTheme="minorEastAsia" w:hAnsiTheme="minorEastAsia"/>
          <w:color w:val="auto"/>
          <w:kern w:val="0"/>
          <w:sz w:val="24"/>
          <w:szCs w:val="24"/>
          <w:u w:val="single"/>
        </w:rPr>
        <w:t xml:space="preserve"> 2020 </w:t>
      </w:r>
      <w:r>
        <w:rPr>
          <w:rFonts w:hint="eastAsia" w:cs="Times New Roman" w:asciiTheme="minorEastAsia" w:hAnsiTheme="minorEastAsia"/>
          <w:color w:val="auto"/>
          <w:kern w:val="0"/>
          <w:sz w:val="24"/>
          <w:szCs w:val="24"/>
        </w:rPr>
        <w:t>年</w:t>
      </w:r>
      <w:r>
        <w:rPr>
          <w:rFonts w:hint="eastAsia" w:cs="Times New Roman" w:asciiTheme="minorEastAsia" w:hAnsiTheme="minorEastAsia"/>
          <w:color w:val="auto"/>
          <w:kern w:val="0"/>
          <w:sz w:val="24"/>
          <w:szCs w:val="24"/>
          <w:u w:val="single"/>
          <w:lang w:val="en-US" w:eastAsia="zh-CN"/>
        </w:rPr>
        <w:t xml:space="preserve"> 12</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月</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9</w:t>
      </w:r>
      <w:r>
        <w:rPr>
          <w:rFonts w:hint="eastAsia" w:cs="Times New Roman" w:asciiTheme="minorEastAsia" w:hAnsiTheme="minorEastAsia"/>
          <w:color w:val="auto"/>
          <w:kern w:val="0"/>
          <w:sz w:val="24"/>
          <w:szCs w:val="24"/>
        </w:rPr>
        <w:t>日</w:t>
      </w:r>
      <w:r>
        <w:rPr>
          <w:rFonts w:hint="eastAsia" w:cs="Times New Roman" w:asciiTheme="minorEastAsia" w:hAnsiTheme="minorEastAsia"/>
          <w:color w:val="auto"/>
          <w:kern w:val="0"/>
          <w:sz w:val="24"/>
          <w:szCs w:val="24"/>
          <w:u w:val="single"/>
        </w:rPr>
        <w:t xml:space="preserve"> 9 </w:t>
      </w:r>
      <w:r>
        <w:rPr>
          <w:rFonts w:hint="eastAsia" w:cs="Times New Roman" w:asciiTheme="minorEastAsia" w:hAnsiTheme="minorEastAsia"/>
          <w:color w:val="auto"/>
          <w:kern w:val="0"/>
          <w:sz w:val="24"/>
          <w:szCs w:val="24"/>
        </w:rPr>
        <w:t>时</w:t>
      </w:r>
      <w:r>
        <w:rPr>
          <w:rFonts w:hint="eastAsia" w:cs="Times New Roman" w:asciiTheme="minorEastAsia" w:hAnsiTheme="minorEastAsia"/>
          <w:color w:val="auto"/>
          <w:kern w:val="0"/>
          <w:sz w:val="24"/>
          <w:szCs w:val="24"/>
          <w:u w:val="single"/>
        </w:rPr>
        <w:t xml:space="preserve"> 0 </w:t>
      </w:r>
      <w:r>
        <w:rPr>
          <w:rFonts w:hint="eastAsia" w:cs="Times New Roman" w:asciiTheme="minorEastAsia" w:hAnsiTheme="minorEastAsia"/>
          <w:color w:val="auto"/>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（二）</w:t>
      </w:r>
      <w:r>
        <w:rPr>
          <w:rFonts w:hint="eastAsia" w:cs="Times New Roman" w:asciiTheme="minorEastAsia" w:hAnsiTheme="minorEastAsia"/>
          <w:color w:val="auto"/>
          <w:kern w:val="0"/>
          <w:sz w:val="24"/>
          <w:szCs w:val="24"/>
        </w:rPr>
        <w:tab/>
      </w:r>
      <w:r>
        <w:rPr>
          <w:rFonts w:hint="eastAsia" w:cs="Times New Roman" w:asciiTheme="minorEastAsia" w:hAnsiTheme="minorEastAsia"/>
          <w:color w:val="auto"/>
          <w:kern w:val="0"/>
          <w:sz w:val="24"/>
          <w:szCs w:val="24"/>
        </w:rPr>
        <w:t>开标地点：</w:t>
      </w:r>
      <w:r>
        <w:rPr>
          <w:rFonts w:hint="eastAsia" w:cs="Times New Roman" w:asciiTheme="minorEastAsia" w:hAnsiTheme="minorEastAsia"/>
          <w:color w:val="auto"/>
          <w:kern w:val="0"/>
          <w:sz w:val="24"/>
          <w:szCs w:val="24"/>
          <w:u w:val="single"/>
        </w:rPr>
        <w:t xml:space="preserve">   重庆市   </w:t>
      </w:r>
      <w:r>
        <w:rPr>
          <w:rFonts w:hint="eastAsia" w:cs="Times New Roman" w:asciiTheme="minorEastAsia" w:hAnsiTheme="minorEastAsia"/>
          <w:color w:val="auto"/>
          <w:kern w:val="0"/>
          <w:sz w:val="24"/>
          <w:szCs w:val="24"/>
        </w:rPr>
        <w:t>。</w:t>
      </w:r>
    </w:p>
    <w:p>
      <w:pPr>
        <w:tabs>
          <w:tab w:val="left" w:pos="0"/>
          <w:tab w:val="left" w:pos="1122"/>
        </w:tabs>
        <w:adjustRightInd w:val="0"/>
        <w:snapToGrid w:val="0"/>
        <w:spacing w:line="440" w:lineRule="exact"/>
        <w:ind w:firstLine="462" w:firstLineChars="200"/>
        <w:rPr>
          <w:rFonts w:cs="Times New Roman" w:asciiTheme="minorEastAsia" w:hAnsiTheme="minorEastAsia"/>
          <w:b/>
          <w:color w:val="auto"/>
          <w:kern w:val="0"/>
          <w:sz w:val="24"/>
          <w:szCs w:val="24"/>
        </w:rPr>
      </w:pPr>
      <w:r>
        <w:rPr>
          <w:rFonts w:hint="eastAsia" w:cs="Times New Roman" w:asciiTheme="minorEastAsia" w:hAnsiTheme="minorEastAsia"/>
          <w:b/>
          <w:color w:val="auto"/>
          <w:kern w:val="0"/>
          <w:sz w:val="24"/>
          <w:szCs w:val="24"/>
        </w:rPr>
        <w:t>八、</w:t>
      </w:r>
      <w:r>
        <w:rPr>
          <w:rFonts w:cs="Times New Roman" w:asciiTheme="minorEastAsia" w:hAnsiTheme="minorEastAsia"/>
          <w:b/>
          <w:color w:val="auto"/>
          <w:kern w:val="0"/>
          <w:sz w:val="24"/>
          <w:szCs w:val="24"/>
        </w:rPr>
        <w:t>本</w:t>
      </w:r>
      <w:r>
        <w:rPr>
          <w:rFonts w:hint="eastAsia" w:cs="Times New Roman" w:asciiTheme="minorEastAsia" w:hAnsiTheme="minorEastAsia"/>
          <w:b/>
          <w:color w:val="auto"/>
          <w:kern w:val="0"/>
          <w:sz w:val="24"/>
          <w:szCs w:val="24"/>
        </w:rPr>
        <w:t>采购</w:t>
      </w:r>
      <w:r>
        <w:rPr>
          <w:rFonts w:cs="Times New Roman" w:asciiTheme="minorEastAsia" w:hAnsiTheme="minorEastAsia"/>
          <w:b/>
          <w:color w:val="auto"/>
          <w:kern w:val="0"/>
          <w:sz w:val="24"/>
          <w:szCs w:val="24"/>
        </w:rPr>
        <w:t>项目相关信息在《</w:t>
      </w:r>
      <w:r>
        <w:rPr>
          <w:rFonts w:hint="eastAsia" w:cs="Times New Roman" w:asciiTheme="minorEastAsia" w:hAnsiTheme="minorEastAsia"/>
          <w:b/>
          <w:color w:val="auto"/>
          <w:kern w:val="0"/>
          <w:sz w:val="24"/>
          <w:szCs w:val="24"/>
        </w:rPr>
        <w:t>中国招标</w:t>
      </w:r>
      <w:r>
        <w:rPr>
          <w:rFonts w:cs="Times New Roman" w:asciiTheme="minorEastAsia" w:hAnsiTheme="minorEastAsia"/>
          <w:b/>
          <w:color w:val="auto"/>
          <w:kern w:val="0"/>
          <w:sz w:val="24"/>
          <w:szCs w:val="24"/>
        </w:rPr>
        <w:t>网》</w:t>
      </w:r>
      <w:r>
        <w:rPr>
          <w:rFonts w:hint="eastAsia" w:cs="Times New Roman" w:asciiTheme="minorEastAsia" w:hAnsiTheme="minorEastAsia"/>
          <w:b/>
          <w:color w:val="auto"/>
          <w:kern w:val="0"/>
          <w:sz w:val="24"/>
          <w:szCs w:val="24"/>
        </w:rPr>
        <w:t>（</w:t>
      </w:r>
      <w:r>
        <w:rPr>
          <w:color w:val="auto"/>
        </w:rPr>
        <w:fldChar w:fldCharType="begin"/>
      </w:r>
      <w:r>
        <w:rPr>
          <w:color w:val="auto"/>
        </w:rPr>
        <w:instrText xml:space="preserve"> HYPERLINK "http://www.zhaobiao.cn" </w:instrText>
      </w:r>
      <w:r>
        <w:rPr>
          <w:color w:val="auto"/>
        </w:rPr>
        <w:fldChar w:fldCharType="separate"/>
      </w:r>
      <w:r>
        <w:rPr>
          <w:rStyle w:val="21"/>
          <w:rFonts w:asciiTheme="minorEastAsia" w:hAnsiTheme="minorEastAsia"/>
          <w:b/>
          <w:color w:val="auto"/>
          <w:kern w:val="0"/>
          <w:sz w:val="24"/>
          <w:szCs w:val="24"/>
          <w:u w:val="none"/>
        </w:rPr>
        <w:t>www.zhaobiao.cn</w:t>
      </w:r>
      <w:r>
        <w:rPr>
          <w:rStyle w:val="21"/>
          <w:rFonts w:asciiTheme="minorEastAsia" w:hAnsiTheme="minorEastAsia"/>
          <w:b/>
          <w:color w:val="auto"/>
          <w:kern w:val="0"/>
          <w:sz w:val="24"/>
          <w:szCs w:val="24"/>
          <w:u w:val="none"/>
        </w:rPr>
        <w:fldChar w:fldCharType="end"/>
      </w:r>
      <w:r>
        <w:rPr>
          <w:rFonts w:hint="eastAsia" w:cs="Times New Roman" w:asciiTheme="minorEastAsia" w:hAnsiTheme="minorEastAsia"/>
          <w:b/>
          <w:color w:val="auto"/>
          <w:kern w:val="0"/>
          <w:sz w:val="24"/>
          <w:szCs w:val="24"/>
        </w:rPr>
        <w:t>）及我院官网（</w:t>
      </w:r>
      <w:r>
        <w:rPr>
          <w:rFonts w:cs="Times New Roman" w:asciiTheme="minorEastAsia" w:hAnsiTheme="minorEastAsia"/>
          <w:b/>
          <w:color w:val="auto"/>
          <w:kern w:val="0"/>
          <w:sz w:val="24"/>
          <w:szCs w:val="24"/>
        </w:rPr>
        <w:t>www.xnyy.cn</w:t>
      </w:r>
      <w:r>
        <w:rPr>
          <w:rFonts w:hint="eastAsia" w:cs="Times New Roman" w:asciiTheme="minorEastAsia" w:hAnsiTheme="minorEastAsia"/>
          <w:b/>
          <w:color w:val="auto"/>
          <w:kern w:val="0"/>
          <w:sz w:val="24"/>
          <w:szCs w:val="24"/>
        </w:rPr>
        <w:t>）</w:t>
      </w:r>
      <w:r>
        <w:rPr>
          <w:rFonts w:cs="Times New Roman" w:asciiTheme="minorEastAsia" w:hAnsiTheme="minorEastAsia"/>
          <w:b/>
          <w:color w:val="auto"/>
          <w:kern w:val="0"/>
          <w:sz w:val="24"/>
          <w:szCs w:val="24"/>
        </w:rPr>
        <w:t>上发布。</w:t>
      </w:r>
    </w:p>
    <w:p>
      <w:pPr>
        <w:tabs>
          <w:tab w:val="left" w:pos="0"/>
          <w:tab w:val="left" w:pos="1122"/>
        </w:tabs>
        <w:adjustRightInd w:val="0"/>
        <w:snapToGrid w:val="0"/>
        <w:spacing w:line="440" w:lineRule="exact"/>
        <w:ind w:firstLine="462" w:firstLineChars="200"/>
        <w:rPr>
          <w:rFonts w:cs="Times New Roman" w:asciiTheme="minorEastAsia" w:hAnsiTheme="minorEastAsia"/>
          <w:b/>
          <w:color w:val="auto"/>
          <w:kern w:val="0"/>
          <w:sz w:val="24"/>
          <w:szCs w:val="24"/>
        </w:rPr>
      </w:pPr>
      <w:r>
        <w:rPr>
          <w:rFonts w:hint="eastAsia" w:cs="Times New Roman" w:asciiTheme="minorEastAsia" w:hAnsiTheme="minorEastAsia"/>
          <w:b/>
          <w:color w:val="auto"/>
          <w:kern w:val="0"/>
          <w:sz w:val="24"/>
          <w:szCs w:val="24"/>
        </w:rPr>
        <w:t>九、招标人</w:t>
      </w:r>
      <w:r>
        <w:rPr>
          <w:rFonts w:cs="Times New Roman" w:asciiTheme="minorEastAsia" w:hAnsiTheme="minorEastAsia"/>
          <w:b/>
          <w:color w:val="auto"/>
          <w:kern w:val="0"/>
          <w:sz w:val="24"/>
          <w:szCs w:val="24"/>
        </w:rPr>
        <w:t>联系方式</w:t>
      </w:r>
    </w:p>
    <w:p>
      <w:pPr>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联 系 人：</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eastAsia="zh-CN"/>
        </w:rPr>
        <w:t>陈</w:t>
      </w:r>
      <w:r>
        <w:rPr>
          <w:rFonts w:hint="eastAsia" w:cs="Times New Roman" w:asciiTheme="minorEastAsia" w:hAnsiTheme="minorEastAsia"/>
          <w:color w:val="auto"/>
          <w:kern w:val="0"/>
          <w:sz w:val="24"/>
          <w:szCs w:val="24"/>
          <w:u w:val="single"/>
        </w:rPr>
        <w:t xml:space="preserve">老师、杨老师   </w:t>
      </w:r>
    </w:p>
    <w:p>
      <w:pPr>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电    话：</w:t>
      </w:r>
      <w:r>
        <w:rPr>
          <w:rFonts w:hint="eastAsia" w:cs="Times New Roman" w:asciiTheme="minorEastAsia" w:hAnsiTheme="minorEastAsia"/>
          <w:color w:val="auto"/>
          <w:kern w:val="0"/>
          <w:sz w:val="24"/>
          <w:szCs w:val="24"/>
          <w:u w:val="single"/>
        </w:rPr>
        <w:t xml:space="preserve">  023-687661</w:t>
      </w:r>
      <w:r>
        <w:rPr>
          <w:rFonts w:hint="eastAsia" w:cs="Times New Roman" w:asciiTheme="minorEastAsia" w:hAnsiTheme="minorEastAsia"/>
          <w:color w:val="auto"/>
          <w:kern w:val="0"/>
          <w:sz w:val="24"/>
          <w:szCs w:val="24"/>
          <w:u w:val="single"/>
          <w:lang w:val="en-US" w:eastAsia="zh-CN"/>
        </w:rPr>
        <w:t>54</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 xml:space="preserve">（08:00—12:00，15:00—18:00）    </w:t>
      </w:r>
    </w:p>
    <w:p>
      <w:pPr>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监督电话：</w:t>
      </w:r>
      <w:r>
        <w:rPr>
          <w:rFonts w:hint="eastAsia" w:cs="Times New Roman" w:asciiTheme="minorEastAsia" w:hAnsiTheme="minorEastAsia"/>
          <w:color w:val="auto"/>
          <w:kern w:val="0"/>
          <w:sz w:val="24"/>
          <w:szCs w:val="24"/>
          <w:u w:val="single"/>
        </w:rPr>
        <w:t xml:space="preserve">  </w:t>
      </w:r>
      <w:r>
        <w:rPr>
          <w:rFonts w:hint="eastAsia" w:ascii="宋体" w:hAnsi="宋体" w:eastAsia="宋体" w:cs="Times New Roman"/>
          <w:color w:val="auto"/>
          <w:kern w:val="0"/>
          <w:sz w:val="24"/>
          <w:szCs w:val="24"/>
          <w:u w:val="single"/>
        </w:rPr>
        <w:t>023-68766035</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（08:00—12:00，15:00—18:00）</w:t>
      </w:r>
    </w:p>
    <w:p>
      <w:pPr>
        <w:adjustRightInd w:val="0"/>
        <w:snapToGrid w:val="0"/>
        <w:spacing w:line="440" w:lineRule="exact"/>
        <w:ind w:left="4672" w:leftChars="2320" w:hanging="9" w:hangingChars="4"/>
        <w:rPr>
          <w:rFonts w:hint="eastAsia" w:cs="Times New Roman" w:asciiTheme="minorEastAsia" w:hAnsiTheme="minorEastAsia"/>
          <w:color w:val="auto"/>
          <w:kern w:val="0"/>
          <w:sz w:val="24"/>
          <w:szCs w:val="24"/>
        </w:rPr>
      </w:pPr>
    </w:p>
    <w:p>
      <w:pPr>
        <w:adjustRightInd w:val="0"/>
        <w:snapToGrid w:val="0"/>
        <w:spacing w:line="440" w:lineRule="exact"/>
        <w:ind w:left="4672" w:leftChars="2320" w:hanging="9" w:hangingChars="4"/>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招标人：物资采购中心</w:t>
      </w:r>
    </w:p>
    <w:p>
      <w:pPr>
        <w:adjustRightInd w:val="0"/>
        <w:snapToGrid w:val="0"/>
        <w:spacing w:line="440" w:lineRule="exact"/>
        <w:ind w:left="4723" w:leftChars="235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 xml:space="preserve"> 2020 年 </w:t>
      </w:r>
      <w:r>
        <w:rPr>
          <w:rFonts w:hint="eastAsia" w:cs="Times New Roman" w:asciiTheme="minorEastAsia" w:hAnsiTheme="minorEastAsia"/>
          <w:color w:val="auto"/>
          <w:kern w:val="0"/>
          <w:sz w:val="24"/>
          <w:szCs w:val="24"/>
          <w:lang w:val="en-US" w:eastAsia="zh-CN"/>
        </w:rPr>
        <w:t>11</w:t>
      </w:r>
      <w:r>
        <w:rPr>
          <w:rFonts w:hint="eastAsia" w:cs="Times New Roman" w:asciiTheme="minorEastAsia" w:hAnsiTheme="minorEastAsia"/>
          <w:color w:val="auto"/>
          <w:kern w:val="0"/>
          <w:sz w:val="24"/>
          <w:szCs w:val="24"/>
        </w:rPr>
        <w:t xml:space="preserve"> 月 </w:t>
      </w:r>
      <w:r>
        <w:rPr>
          <w:rFonts w:hint="eastAsia" w:cs="Times New Roman" w:asciiTheme="minorEastAsia" w:hAnsiTheme="minorEastAsia"/>
          <w:color w:val="auto"/>
          <w:kern w:val="0"/>
          <w:sz w:val="24"/>
          <w:szCs w:val="24"/>
          <w:lang w:val="en-US" w:eastAsia="zh-CN"/>
        </w:rPr>
        <w:t>17</w:t>
      </w:r>
      <w:r>
        <w:rPr>
          <w:rFonts w:hint="eastAsia" w:cs="Times New Roman" w:asciiTheme="minorEastAsia" w:hAnsiTheme="minorEastAsia"/>
          <w:color w:val="auto"/>
          <w:kern w:val="0"/>
          <w:sz w:val="24"/>
          <w:szCs w:val="24"/>
        </w:rPr>
        <w:t>日</w:t>
      </w:r>
    </w:p>
    <w:p>
      <w:pPr>
        <w:autoSpaceDE w:val="0"/>
        <w:autoSpaceDN w:val="0"/>
        <w:adjustRightInd w:val="0"/>
        <w:snapToGrid w:val="0"/>
        <w:spacing w:line="440" w:lineRule="exact"/>
        <w:rPr>
          <w:rFonts w:cs="Times New Roman" w:asciiTheme="minorEastAsia" w:hAnsiTheme="minorEastAsia"/>
          <w:kern w:val="0"/>
          <w:sz w:val="24"/>
          <w:szCs w:val="24"/>
        </w:rPr>
        <w:sectPr>
          <w:headerReference r:id="rId3" w:type="default"/>
          <w:footerReference r:id="rId4" w:type="default"/>
          <w:pgSz w:w="11906" w:h="16838"/>
          <w:pgMar w:top="2098" w:right="1474" w:bottom="1985" w:left="1588" w:header="851" w:footer="992" w:gutter="0"/>
          <w:pgNumType w:start="1"/>
          <w:cols w:space="425" w:num="1"/>
          <w:docGrid w:type="linesAndChars" w:linePitch="579" w:charSpace="-1844"/>
        </w:sectPr>
      </w:pPr>
    </w:p>
    <w:p>
      <w:pPr>
        <w:pStyle w:val="2"/>
        <w:adjustRightInd w:val="0"/>
        <w:snapToGrid w:val="0"/>
        <w:spacing w:line="440" w:lineRule="exact"/>
        <w:jc w:val="center"/>
        <w:rPr>
          <w:rFonts w:ascii="黑体" w:hAnsi="黑体" w:eastAsia="黑体"/>
          <w:kern w:val="0"/>
          <w:sz w:val="32"/>
          <w:szCs w:val="32"/>
          <w:lang w:val="zh-CN"/>
        </w:rPr>
      </w:pPr>
      <w:bookmarkStart w:id="4" w:name="_Toc37172688"/>
      <w:bookmarkStart w:id="5" w:name="_Toc390713967"/>
      <w:bookmarkStart w:id="6" w:name="_Toc435540979"/>
      <w:bookmarkStart w:id="7" w:name="_Toc285612594"/>
      <w:r>
        <w:rPr>
          <w:rFonts w:hint="eastAsia" w:ascii="黑体" w:hAnsi="黑体" w:eastAsia="黑体"/>
          <w:kern w:val="0"/>
          <w:sz w:val="32"/>
          <w:szCs w:val="32"/>
          <w:lang w:val="zh-CN"/>
        </w:rPr>
        <w:t>第二部分  采购项目技</w:t>
      </w:r>
      <w:r>
        <w:rPr>
          <w:rFonts w:hint="eastAsia" w:ascii="黑体" w:hAnsi="黑体" w:eastAsia="黑体" w:cs="宋体"/>
          <w:kern w:val="0"/>
          <w:sz w:val="32"/>
          <w:szCs w:val="32"/>
          <w:lang w:val="zh-CN"/>
        </w:rPr>
        <w:t>术</w:t>
      </w:r>
      <w:r>
        <w:rPr>
          <w:rFonts w:hint="eastAsia" w:ascii="黑体" w:hAnsi="黑体" w:eastAsia="黑体" w:cs="Dotum"/>
          <w:kern w:val="0"/>
          <w:sz w:val="32"/>
          <w:szCs w:val="32"/>
          <w:lang w:val="zh-CN"/>
        </w:rPr>
        <w:t>和商</w:t>
      </w:r>
      <w:r>
        <w:rPr>
          <w:rFonts w:hint="eastAsia" w:ascii="黑体" w:hAnsi="黑体" w:eastAsia="黑体" w:cs="宋体"/>
          <w:kern w:val="0"/>
          <w:sz w:val="32"/>
          <w:szCs w:val="32"/>
          <w:lang w:val="zh-CN"/>
        </w:rPr>
        <w:t>务</w:t>
      </w:r>
      <w:r>
        <w:rPr>
          <w:rFonts w:hint="eastAsia" w:ascii="黑体" w:hAnsi="黑体" w:eastAsia="黑体"/>
          <w:kern w:val="0"/>
          <w:sz w:val="32"/>
          <w:szCs w:val="32"/>
          <w:lang w:val="zh-CN"/>
        </w:rPr>
        <w:t>要求</w:t>
      </w:r>
      <w:bookmarkEnd w:id="4"/>
      <w:bookmarkEnd w:id="5"/>
      <w:bookmarkEnd w:id="6"/>
      <w:bookmarkEnd w:id="7"/>
    </w:p>
    <w:p>
      <w:pPr>
        <w:autoSpaceDE w:val="0"/>
        <w:autoSpaceDN w:val="0"/>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一、</w:t>
      </w:r>
      <w:r>
        <w:rPr>
          <w:rFonts w:cs="Times New Roman" w:asciiTheme="minorEastAsia" w:hAnsiTheme="minorEastAsia"/>
          <w:b/>
          <w:kern w:val="0"/>
          <w:sz w:val="24"/>
          <w:szCs w:val="24"/>
        </w:rPr>
        <w:t>货物一览表</w:t>
      </w:r>
      <w:bookmarkStart w:id="8" w:name="_Toc285612596"/>
      <w:r>
        <w:rPr>
          <w:rFonts w:cs="Times New Roman" w:asciiTheme="minorEastAsia" w:hAnsiTheme="minorEastAsia"/>
          <w:b/>
          <w:kern w:val="0"/>
          <w:sz w:val="24"/>
          <w:szCs w:val="24"/>
        </w:rPr>
        <w:t>及技术</w:t>
      </w:r>
      <w:r>
        <w:rPr>
          <w:rFonts w:hint="eastAsia" w:cs="Times New Roman" w:asciiTheme="minorEastAsia" w:hAnsiTheme="minorEastAsia"/>
          <w:b/>
          <w:kern w:val="0"/>
          <w:sz w:val="24"/>
          <w:szCs w:val="24"/>
        </w:rPr>
        <w:t>要求</w:t>
      </w:r>
    </w:p>
    <w:tbl>
      <w:tblPr>
        <w:tblStyle w:val="17"/>
        <w:tblW w:w="4862" w:type="pct"/>
        <w:jc w:val="center"/>
        <w:tblLayout w:type="autofit"/>
        <w:tblCellMar>
          <w:top w:w="0" w:type="dxa"/>
          <w:left w:w="108" w:type="dxa"/>
          <w:bottom w:w="0" w:type="dxa"/>
          <w:right w:w="108" w:type="dxa"/>
        </w:tblCellMar>
      </w:tblPr>
      <w:tblGrid>
        <w:gridCol w:w="851"/>
        <w:gridCol w:w="2268"/>
        <w:gridCol w:w="1275"/>
        <w:gridCol w:w="2421"/>
        <w:gridCol w:w="1059"/>
        <w:gridCol w:w="936"/>
      </w:tblGrid>
      <w:tr>
        <w:tblPrEx>
          <w:tblCellMar>
            <w:top w:w="0" w:type="dxa"/>
            <w:left w:w="108" w:type="dxa"/>
            <w:bottom w:w="0" w:type="dxa"/>
            <w:right w:w="108" w:type="dxa"/>
          </w:tblCellMar>
        </w:tblPrEx>
        <w:trPr>
          <w:trHeight w:val="956" w:hRule="exact"/>
          <w:jc w:val="center"/>
        </w:trPr>
        <w:tc>
          <w:tcPr>
            <w:tcW w:w="8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序号</w:t>
            </w:r>
          </w:p>
        </w:tc>
        <w:tc>
          <w:tcPr>
            <w:tcW w:w="2268"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物资名称</w:t>
            </w:r>
          </w:p>
        </w:tc>
        <w:tc>
          <w:tcPr>
            <w:tcW w:w="1275"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规格</w:t>
            </w:r>
          </w:p>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型号</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技术指标参数要求</w:t>
            </w:r>
          </w:p>
        </w:tc>
        <w:tc>
          <w:tcPr>
            <w:tcW w:w="1059"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计量</w:t>
            </w:r>
          </w:p>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单位</w:t>
            </w:r>
          </w:p>
        </w:tc>
        <w:tc>
          <w:tcPr>
            <w:tcW w:w="93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数量</w:t>
            </w:r>
          </w:p>
        </w:tc>
      </w:tr>
      <w:tr>
        <w:tblPrEx>
          <w:tblCellMar>
            <w:top w:w="0" w:type="dxa"/>
            <w:left w:w="108" w:type="dxa"/>
            <w:bottom w:w="0" w:type="dxa"/>
            <w:right w:w="108" w:type="dxa"/>
          </w:tblCellMar>
        </w:tblPrEx>
        <w:trPr>
          <w:trHeight w:val="855" w:hRule="exac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1</w:t>
            </w:r>
          </w:p>
        </w:tc>
        <w:tc>
          <w:tcPr>
            <w:tcW w:w="2268"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cs="Times New Roman" w:asciiTheme="minorEastAsia" w:hAnsiTheme="minorEastAsia" w:eastAsiaTheme="minorEastAsia"/>
                <w:kern w:val="0"/>
                <w:sz w:val="24"/>
                <w:szCs w:val="24"/>
                <w:lang w:eastAsia="zh-CN"/>
              </w:rPr>
            </w:pPr>
            <w:r>
              <w:rPr>
                <w:rFonts w:hint="eastAsia" w:cs="Times New Roman" w:asciiTheme="minorEastAsia" w:hAnsiTheme="minorEastAsia"/>
                <w:szCs w:val="21"/>
                <w:lang w:eastAsia="zh-CN"/>
              </w:rPr>
              <w:t>除颤仪</w:t>
            </w:r>
          </w:p>
        </w:tc>
        <w:tc>
          <w:tcPr>
            <w:tcW w:w="1275" w:type="dxa"/>
            <w:tcBorders>
              <w:top w:val="single" w:color="auto" w:sz="4" w:space="0"/>
              <w:left w:val="nil"/>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w:t>
            </w:r>
          </w:p>
        </w:tc>
        <w:tc>
          <w:tcPr>
            <w:tcW w:w="24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详见下表</w:t>
            </w:r>
          </w:p>
        </w:tc>
        <w:tc>
          <w:tcPr>
            <w:tcW w:w="1059" w:type="dxa"/>
            <w:tcBorders>
              <w:top w:val="single" w:color="auto" w:sz="4" w:space="0"/>
              <w:left w:val="nil"/>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台</w:t>
            </w:r>
          </w:p>
        </w:tc>
        <w:tc>
          <w:tcPr>
            <w:tcW w:w="936" w:type="dxa"/>
            <w:tcBorders>
              <w:top w:val="single" w:color="auto" w:sz="4" w:space="0"/>
              <w:left w:val="nil"/>
              <w:bottom w:val="single" w:color="auto" w:sz="4" w:space="0"/>
              <w:right w:val="single" w:color="auto" w:sz="4" w:space="0"/>
            </w:tcBorders>
            <w:noWrap/>
            <w:vAlign w:val="center"/>
          </w:tcPr>
          <w:p>
            <w:pPr>
              <w:adjustRightInd w:val="0"/>
              <w:snapToGrid w:val="0"/>
              <w:jc w:val="center"/>
              <w:rPr>
                <w:rFonts w:hint="eastAsia" w:cs="Times New Roman" w:asciiTheme="minorEastAsia" w:hAnsiTheme="minorEastAsia" w:eastAsiaTheme="minorEastAsia"/>
                <w:kern w:val="0"/>
                <w:sz w:val="24"/>
                <w:szCs w:val="24"/>
                <w:lang w:eastAsia="zh-CN"/>
              </w:rPr>
            </w:pPr>
            <w:r>
              <w:rPr>
                <w:rFonts w:hint="eastAsia" w:cs="Times New Roman" w:asciiTheme="minorEastAsia" w:hAnsiTheme="minorEastAsia"/>
                <w:kern w:val="0"/>
                <w:sz w:val="24"/>
                <w:szCs w:val="24"/>
                <w:lang w:val="en-US" w:eastAsia="zh-CN"/>
              </w:rPr>
              <w:t>8</w:t>
            </w:r>
          </w:p>
        </w:tc>
      </w:tr>
      <w:bookmarkEnd w:id="8"/>
    </w:tbl>
    <w:p>
      <w:pPr>
        <w:adjustRightInd w:val="0"/>
        <w:snapToGrid w:val="0"/>
        <w:spacing w:line="440" w:lineRule="exact"/>
        <w:jc w:val="center"/>
        <w:rPr>
          <w:rFonts w:ascii="宋体" w:hAnsi="宋体" w:cs="宋体"/>
          <w:bCs/>
          <w:kern w:val="0"/>
          <w:sz w:val="44"/>
          <w:szCs w:val="44"/>
        </w:rPr>
      </w:pPr>
    </w:p>
    <w:p>
      <w:pPr>
        <w:adjustRightInd w:val="0"/>
        <w:snapToGrid w:val="0"/>
        <w:spacing w:beforeLines="50" w:line="240" w:lineRule="atLeast"/>
        <w:jc w:val="center"/>
        <w:rPr>
          <w:rFonts w:hint="eastAsia" w:eastAsia="宋体" w:cs="Times New Roman"/>
          <w:bCs/>
          <w:kern w:val="0"/>
          <w:sz w:val="44"/>
          <w:szCs w:val="44"/>
          <w:lang w:eastAsia="zh-CN"/>
        </w:rPr>
      </w:pPr>
      <w:r>
        <w:rPr>
          <w:rFonts w:hint="eastAsia" w:hAnsi="宋体" w:cs="Times New Roman"/>
          <w:bCs/>
          <w:kern w:val="0"/>
          <w:sz w:val="44"/>
          <w:szCs w:val="44"/>
        </w:rPr>
        <w:t>除颤仪</w:t>
      </w:r>
      <w:r>
        <w:rPr>
          <w:rFonts w:hint="eastAsia" w:ascii="宋体" w:hAnsi="宋体" w:cs="宋体"/>
          <w:bCs/>
          <w:kern w:val="0"/>
          <w:sz w:val="44"/>
          <w:szCs w:val="44"/>
        </w:rPr>
        <w:t>技术</w:t>
      </w:r>
      <w:r>
        <w:rPr>
          <w:rFonts w:hint="eastAsia" w:ascii="宋体" w:hAnsi="宋体" w:cs="宋体"/>
          <w:bCs/>
          <w:kern w:val="0"/>
          <w:sz w:val="44"/>
          <w:szCs w:val="44"/>
          <w:lang w:eastAsia="zh-CN"/>
        </w:rPr>
        <w:t>要求</w:t>
      </w:r>
    </w:p>
    <w:tbl>
      <w:tblPr>
        <w:tblStyle w:val="17"/>
        <w:tblW w:w="9305" w:type="dxa"/>
        <w:tblInd w:w="-294" w:type="dxa"/>
        <w:tblLayout w:type="fixed"/>
        <w:tblCellMar>
          <w:top w:w="0" w:type="dxa"/>
          <w:left w:w="108" w:type="dxa"/>
          <w:bottom w:w="0" w:type="dxa"/>
          <w:right w:w="108" w:type="dxa"/>
        </w:tblCellMar>
      </w:tblPr>
      <w:tblGrid>
        <w:gridCol w:w="1111"/>
        <w:gridCol w:w="1843"/>
        <w:gridCol w:w="4823"/>
        <w:gridCol w:w="1528"/>
      </w:tblGrid>
      <w:tr>
        <w:tblPrEx>
          <w:tblCellMar>
            <w:top w:w="0" w:type="dxa"/>
            <w:left w:w="108" w:type="dxa"/>
            <w:bottom w:w="0" w:type="dxa"/>
            <w:right w:w="108" w:type="dxa"/>
          </w:tblCellMar>
        </w:tblPrEx>
        <w:trPr>
          <w:trHeight w:val="824" w:hRule="atLeast"/>
        </w:trPr>
        <w:tc>
          <w:tcPr>
            <w:tcW w:w="1111" w:type="dxa"/>
            <w:tcBorders>
              <w:top w:val="single" w:color="auto" w:sz="8" w:space="0"/>
              <w:left w:val="single" w:color="auto" w:sz="8" w:space="0"/>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b/>
                <w:bCs/>
                <w:kern w:val="0"/>
              </w:rPr>
            </w:pPr>
            <w:r>
              <w:rPr>
                <w:rFonts w:cs="Times New Roman" w:asciiTheme="majorEastAsia" w:hAnsiTheme="majorEastAsia" w:eastAsiaTheme="majorEastAsia"/>
                <w:b/>
                <w:bCs/>
                <w:kern w:val="0"/>
              </w:rPr>
              <w:t>序号</w:t>
            </w:r>
          </w:p>
        </w:tc>
        <w:tc>
          <w:tcPr>
            <w:tcW w:w="1843" w:type="dxa"/>
            <w:tcBorders>
              <w:top w:val="single" w:color="auto" w:sz="8" w:space="0"/>
              <w:left w:val="nil"/>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b/>
                <w:bCs/>
                <w:kern w:val="0"/>
              </w:rPr>
            </w:pPr>
            <w:r>
              <w:rPr>
                <w:rFonts w:cs="Times New Roman" w:asciiTheme="majorEastAsia" w:hAnsiTheme="majorEastAsia" w:eastAsiaTheme="majorEastAsia"/>
                <w:b/>
                <w:bCs/>
                <w:kern w:val="0"/>
              </w:rPr>
              <w:t>技术和性能参数名称</w:t>
            </w:r>
          </w:p>
        </w:tc>
        <w:tc>
          <w:tcPr>
            <w:tcW w:w="4823" w:type="dxa"/>
            <w:tcBorders>
              <w:top w:val="single" w:color="auto" w:sz="8" w:space="0"/>
              <w:left w:val="nil"/>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b/>
                <w:bCs/>
                <w:kern w:val="0"/>
              </w:rPr>
            </w:pPr>
            <w:r>
              <w:rPr>
                <w:rFonts w:cs="Times New Roman" w:asciiTheme="majorEastAsia" w:hAnsiTheme="majorEastAsia" w:eastAsiaTheme="majorEastAsia"/>
                <w:b/>
                <w:bCs/>
                <w:kern w:val="0"/>
              </w:rPr>
              <w:t>技术参数和性能要求</w:t>
            </w:r>
          </w:p>
        </w:tc>
        <w:tc>
          <w:tcPr>
            <w:tcW w:w="1528" w:type="dxa"/>
            <w:tcBorders>
              <w:top w:val="single" w:color="auto" w:sz="8" w:space="0"/>
              <w:left w:val="nil"/>
              <w:bottom w:val="single" w:color="auto" w:sz="4" w:space="0"/>
              <w:right w:val="single" w:color="auto" w:sz="8" w:space="0"/>
            </w:tcBorders>
            <w:vAlign w:val="center"/>
          </w:tcPr>
          <w:p>
            <w:pPr>
              <w:widowControl/>
              <w:spacing w:line="240" w:lineRule="auto"/>
              <w:jc w:val="center"/>
              <w:rPr>
                <w:rFonts w:cs="Times New Roman" w:asciiTheme="majorEastAsia" w:hAnsiTheme="majorEastAsia" w:eastAsiaTheme="majorEastAsia"/>
                <w:b/>
                <w:bCs/>
                <w:kern w:val="0"/>
              </w:rPr>
            </w:pPr>
            <w:r>
              <w:rPr>
                <w:rFonts w:cs="Times New Roman" w:asciiTheme="majorEastAsia" w:hAnsiTheme="majorEastAsia" w:eastAsiaTheme="majorEastAsia"/>
                <w:b/>
                <w:bCs/>
                <w:kern w:val="0"/>
              </w:rPr>
              <w:t>备注</w:t>
            </w:r>
          </w:p>
        </w:tc>
      </w:tr>
      <w:tr>
        <w:tblPrEx>
          <w:tblCellMar>
            <w:top w:w="0" w:type="dxa"/>
            <w:left w:w="108" w:type="dxa"/>
            <w:bottom w:w="0" w:type="dxa"/>
            <w:right w:w="108" w:type="dxa"/>
          </w:tblCellMar>
        </w:tblPrEx>
        <w:trPr>
          <w:trHeight w:val="844" w:hRule="atLeast"/>
        </w:trPr>
        <w:tc>
          <w:tcPr>
            <w:tcW w:w="1111" w:type="dxa"/>
            <w:tcBorders>
              <w:top w:val="nil"/>
              <w:left w:val="single" w:color="auto" w:sz="8" w:space="0"/>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b/>
                <w:bCs/>
                <w:kern w:val="0"/>
              </w:rPr>
            </w:pPr>
            <w:r>
              <w:rPr>
                <w:rFonts w:cs="Times New Roman" w:asciiTheme="majorEastAsia" w:hAnsiTheme="majorEastAsia" w:eastAsiaTheme="majorEastAsia"/>
                <w:b/>
                <w:bCs/>
                <w:kern w:val="0"/>
              </w:rPr>
              <w:t>1</w:t>
            </w:r>
          </w:p>
        </w:tc>
        <w:tc>
          <w:tcPr>
            <w:tcW w:w="1843" w:type="dxa"/>
            <w:tcBorders>
              <w:top w:val="nil"/>
              <w:left w:val="nil"/>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b/>
                <w:bCs/>
                <w:kern w:val="0"/>
              </w:rPr>
            </w:pPr>
            <w:r>
              <w:rPr>
                <w:rFonts w:cs="Times New Roman" w:asciiTheme="majorEastAsia" w:hAnsiTheme="majorEastAsia" w:eastAsiaTheme="majorEastAsia"/>
                <w:b/>
                <w:bCs/>
                <w:kern w:val="0"/>
              </w:rPr>
              <w:t>设备使用需求</w:t>
            </w:r>
          </w:p>
        </w:tc>
        <w:tc>
          <w:tcPr>
            <w:tcW w:w="4823" w:type="dxa"/>
            <w:tcBorders>
              <w:top w:val="nil"/>
              <w:left w:val="nil"/>
              <w:bottom w:val="single" w:color="auto" w:sz="4" w:space="0"/>
              <w:right w:val="single" w:color="auto" w:sz="4" w:space="0"/>
            </w:tcBorders>
            <w:vAlign w:val="center"/>
          </w:tcPr>
          <w:p>
            <w:pPr>
              <w:widowControl/>
              <w:spacing w:line="240" w:lineRule="auto"/>
              <w:rPr>
                <w:rFonts w:cs="Times New Roman" w:asciiTheme="majorEastAsia" w:hAnsiTheme="majorEastAsia" w:eastAsiaTheme="majorEastAsia"/>
                <w:b/>
                <w:bCs/>
                <w:kern w:val="0"/>
              </w:rPr>
            </w:pPr>
          </w:p>
        </w:tc>
        <w:tc>
          <w:tcPr>
            <w:tcW w:w="1528" w:type="dxa"/>
            <w:tcBorders>
              <w:top w:val="nil"/>
              <w:left w:val="nil"/>
              <w:bottom w:val="single" w:color="auto" w:sz="4" w:space="0"/>
              <w:right w:val="single" w:color="auto" w:sz="8" w:space="0"/>
            </w:tcBorders>
            <w:vAlign w:val="center"/>
          </w:tcPr>
          <w:p>
            <w:pPr>
              <w:widowControl/>
              <w:spacing w:line="240" w:lineRule="auto"/>
              <w:jc w:val="center"/>
              <w:rPr>
                <w:rFonts w:cs="Times New Roman" w:asciiTheme="majorEastAsia" w:hAnsiTheme="majorEastAsia" w:eastAsiaTheme="majorEastAsia"/>
                <w:b/>
                <w:bCs/>
                <w:kern w:val="0"/>
              </w:rPr>
            </w:pPr>
          </w:p>
        </w:tc>
      </w:tr>
      <w:tr>
        <w:tblPrEx>
          <w:tblCellMar>
            <w:top w:w="0" w:type="dxa"/>
            <w:left w:w="108" w:type="dxa"/>
            <w:bottom w:w="0" w:type="dxa"/>
            <w:right w:w="108" w:type="dxa"/>
          </w:tblCellMar>
        </w:tblPrEx>
        <w:trPr>
          <w:trHeight w:val="1038" w:hRule="atLeast"/>
        </w:trPr>
        <w:tc>
          <w:tcPr>
            <w:tcW w:w="1111" w:type="dxa"/>
            <w:tcBorders>
              <w:top w:val="nil"/>
              <w:left w:val="single" w:color="auto" w:sz="8" w:space="0"/>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1.1</w:t>
            </w:r>
          </w:p>
        </w:tc>
        <w:tc>
          <w:tcPr>
            <w:tcW w:w="1843" w:type="dxa"/>
            <w:tcBorders>
              <w:top w:val="nil"/>
              <w:left w:val="nil"/>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设备用途</w:t>
            </w:r>
          </w:p>
        </w:tc>
        <w:tc>
          <w:tcPr>
            <w:tcW w:w="4823" w:type="dxa"/>
            <w:tcBorders>
              <w:top w:val="nil"/>
              <w:left w:val="nil"/>
              <w:bottom w:val="single" w:color="auto" w:sz="4" w:space="0"/>
              <w:right w:val="single" w:color="auto" w:sz="4" w:space="0"/>
            </w:tcBorders>
          </w:tcPr>
          <w:p>
            <w:pPr>
              <w:adjustRightInd w:val="0"/>
              <w:snapToGrid w:val="0"/>
              <w:spacing w:beforeLines="50" w:line="240" w:lineRule="atLeast"/>
              <w:rPr>
                <w:rFonts w:cs="Times New Roman" w:asciiTheme="majorEastAsia" w:hAnsiTheme="majorEastAsia" w:eastAsiaTheme="majorEastAsia"/>
              </w:rPr>
            </w:pPr>
            <w:r>
              <w:rPr>
                <w:rFonts w:hint="eastAsia" w:cs="Times New Roman" w:asciiTheme="majorEastAsia" w:hAnsiTheme="majorEastAsia" w:eastAsiaTheme="majorEastAsia"/>
              </w:rPr>
              <w:t>主要用于治疗室颤等致命性心律失常的急救设备</w:t>
            </w:r>
          </w:p>
        </w:tc>
        <w:tc>
          <w:tcPr>
            <w:tcW w:w="1528" w:type="dxa"/>
            <w:tcBorders>
              <w:top w:val="nil"/>
              <w:left w:val="nil"/>
              <w:bottom w:val="single" w:color="auto" w:sz="4" w:space="0"/>
              <w:right w:val="single" w:color="auto" w:sz="8" w:space="0"/>
            </w:tcBorders>
            <w:vAlign w:val="center"/>
          </w:tcPr>
          <w:p>
            <w:pPr>
              <w:widowControl/>
              <w:spacing w:line="240" w:lineRule="auto"/>
              <w:jc w:val="center"/>
              <w:rPr>
                <w:rFonts w:cs="Times New Roman" w:asciiTheme="majorEastAsia" w:hAnsiTheme="majorEastAsia" w:eastAsiaTheme="majorEastAsia"/>
                <w:kern w:val="0"/>
              </w:rPr>
            </w:pPr>
          </w:p>
        </w:tc>
      </w:tr>
      <w:tr>
        <w:tblPrEx>
          <w:tblCellMar>
            <w:top w:w="0" w:type="dxa"/>
            <w:left w:w="108" w:type="dxa"/>
            <w:bottom w:w="0" w:type="dxa"/>
            <w:right w:w="108" w:type="dxa"/>
          </w:tblCellMar>
        </w:tblPrEx>
        <w:trPr>
          <w:trHeight w:val="613" w:hRule="atLeast"/>
        </w:trPr>
        <w:tc>
          <w:tcPr>
            <w:tcW w:w="1111" w:type="dxa"/>
            <w:tcBorders>
              <w:top w:val="single" w:color="auto" w:sz="4" w:space="0"/>
              <w:left w:val="single" w:color="auto" w:sz="8" w:space="0"/>
              <w:bottom w:val="single" w:color="auto" w:sz="4" w:space="0"/>
              <w:right w:val="single" w:color="auto" w:sz="4" w:space="0"/>
            </w:tcBorders>
            <w:shd w:val="clear" w:color="000000" w:fill="auto"/>
            <w:vAlign w:val="center"/>
          </w:tcPr>
          <w:p>
            <w:pPr>
              <w:widowControl/>
              <w:spacing w:line="240" w:lineRule="auto"/>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1.2</w:t>
            </w:r>
          </w:p>
        </w:tc>
        <w:tc>
          <w:tcPr>
            <w:tcW w:w="1843" w:type="dxa"/>
            <w:tcBorders>
              <w:top w:val="single" w:color="auto" w:sz="4" w:space="0"/>
              <w:left w:val="nil"/>
              <w:bottom w:val="single" w:color="auto" w:sz="4" w:space="0"/>
              <w:right w:val="single" w:color="auto" w:sz="4" w:space="0"/>
            </w:tcBorders>
            <w:shd w:val="clear" w:color="000000" w:fill="auto"/>
            <w:vAlign w:val="center"/>
          </w:tcPr>
          <w:p>
            <w:pPr>
              <w:widowControl/>
              <w:spacing w:line="240" w:lineRule="auto"/>
              <w:jc w:val="center"/>
              <w:rPr>
                <w:rFonts w:cs="Times New Roman" w:asciiTheme="majorEastAsia" w:hAnsiTheme="majorEastAsia" w:eastAsiaTheme="majorEastAsia"/>
                <w:color w:val="000000"/>
                <w:kern w:val="0"/>
              </w:rPr>
            </w:pPr>
            <w:r>
              <w:rPr>
                <w:rFonts w:cs="Times New Roman" w:asciiTheme="majorEastAsia" w:hAnsiTheme="majorEastAsia" w:eastAsiaTheme="majorEastAsia"/>
                <w:color w:val="000000"/>
                <w:kern w:val="0"/>
              </w:rPr>
              <w:t>实验对象</w:t>
            </w:r>
          </w:p>
        </w:tc>
        <w:tc>
          <w:tcPr>
            <w:tcW w:w="4823" w:type="dxa"/>
            <w:tcBorders>
              <w:top w:val="single" w:color="auto" w:sz="4" w:space="0"/>
              <w:left w:val="nil"/>
              <w:bottom w:val="single" w:color="auto" w:sz="4" w:space="0"/>
              <w:right w:val="single" w:color="auto" w:sz="4" w:space="0"/>
            </w:tcBorders>
            <w:shd w:val="clear" w:color="000000" w:fill="auto"/>
            <w:vAlign w:val="center"/>
          </w:tcPr>
          <w:p>
            <w:pPr>
              <w:adjustRightInd w:val="0"/>
              <w:snapToGrid w:val="0"/>
              <w:spacing w:beforeLines="50" w:line="240" w:lineRule="atLeast"/>
              <w:rPr>
                <w:rFonts w:cs="Times New Roman" w:asciiTheme="majorEastAsia" w:hAnsiTheme="majorEastAsia" w:eastAsiaTheme="majorEastAsia"/>
              </w:rPr>
            </w:pPr>
            <w:r>
              <w:rPr>
                <w:rFonts w:hint="eastAsia" w:cs="Times New Roman" w:asciiTheme="majorEastAsia" w:hAnsiTheme="majorEastAsia" w:eastAsiaTheme="majorEastAsia"/>
              </w:rPr>
              <w:t>危重病人</w:t>
            </w:r>
          </w:p>
        </w:tc>
        <w:tc>
          <w:tcPr>
            <w:tcW w:w="1528" w:type="dxa"/>
            <w:tcBorders>
              <w:top w:val="single" w:color="auto" w:sz="4" w:space="0"/>
              <w:left w:val="nil"/>
              <w:bottom w:val="single" w:color="auto" w:sz="4" w:space="0"/>
              <w:right w:val="single" w:color="auto" w:sz="8" w:space="0"/>
            </w:tcBorders>
            <w:shd w:val="clear" w:color="000000" w:fill="auto"/>
            <w:vAlign w:val="center"/>
          </w:tcPr>
          <w:p>
            <w:pPr>
              <w:widowControl/>
              <w:spacing w:line="240" w:lineRule="auto"/>
              <w:jc w:val="center"/>
              <w:rPr>
                <w:rFonts w:cs="Times New Roman" w:asciiTheme="majorEastAsia" w:hAnsiTheme="majorEastAsia" w:eastAsiaTheme="majorEastAsia"/>
                <w:kern w:val="0"/>
              </w:rPr>
            </w:pPr>
          </w:p>
        </w:tc>
      </w:tr>
      <w:tr>
        <w:tblPrEx>
          <w:tblCellMar>
            <w:top w:w="0" w:type="dxa"/>
            <w:left w:w="108" w:type="dxa"/>
            <w:bottom w:w="0" w:type="dxa"/>
            <w:right w:w="108" w:type="dxa"/>
          </w:tblCellMar>
        </w:tblPrEx>
        <w:trPr>
          <w:trHeight w:val="613" w:hRule="atLeast"/>
        </w:trPr>
        <w:tc>
          <w:tcPr>
            <w:tcW w:w="1111" w:type="dxa"/>
            <w:tcBorders>
              <w:top w:val="single" w:color="auto" w:sz="4" w:space="0"/>
              <w:left w:val="single" w:color="auto" w:sz="8" w:space="0"/>
              <w:bottom w:val="single" w:color="auto" w:sz="4" w:space="0"/>
              <w:right w:val="single" w:color="auto" w:sz="4" w:space="0"/>
            </w:tcBorders>
            <w:shd w:val="clear" w:color="000000" w:fill="auto"/>
            <w:vAlign w:val="center"/>
          </w:tcPr>
          <w:p>
            <w:pPr>
              <w:widowControl/>
              <w:spacing w:line="240" w:lineRule="auto"/>
              <w:jc w:val="center"/>
              <w:rPr>
                <w:rFonts w:cs="Times New Roman" w:asciiTheme="majorEastAsia" w:hAnsiTheme="majorEastAsia" w:eastAsiaTheme="majorEastAsia"/>
                <w:kern w:val="0"/>
              </w:rPr>
            </w:pPr>
            <w:r>
              <w:rPr>
                <w:rFonts w:cs="Times New Roman" w:asciiTheme="majorEastAsia" w:hAnsiTheme="majorEastAsia" w:eastAsiaTheme="majorEastAsia"/>
                <w:bCs/>
                <w:kern w:val="0"/>
              </w:rPr>
              <w:t>1.3</w:t>
            </w:r>
          </w:p>
        </w:tc>
        <w:tc>
          <w:tcPr>
            <w:tcW w:w="1843" w:type="dxa"/>
            <w:tcBorders>
              <w:top w:val="single" w:color="auto" w:sz="4" w:space="0"/>
              <w:left w:val="nil"/>
              <w:bottom w:val="single" w:color="auto" w:sz="4" w:space="0"/>
              <w:right w:val="single" w:color="auto" w:sz="4" w:space="0"/>
            </w:tcBorders>
            <w:shd w:val="clear" w:color="000000" w:fill="auto"/>
            <w:vAlign w:val="center"/>
          </w:tcPr>
          <w:p>
            <w:pPr>
              <w:widowControl/>
              <w:spacing w:line="240" w:lineRule="auto"/>
              <w:jc w:val="center"/>
              <w:rPr>
                <w:rFonts w:cs="Times New Roman" w:asciiTheme="majorEastAsia" w:hAnsiTheme="majorEastAsia" w:eastAsiaTheme="majorEastAsia"/>
                <w:color w:val="000000"/>
                <w:kern w:val="0"/>
              </w:rPr>
            </w:pPr>
            <w:r>
              <w:rPr>
                <w:rFonts w:cs="Times New Roman" w:asciiTheme="majorEastAsia" w:hAnsiTheme="majorEastAsia" w:eastAsiaTheme="majorEastAsia"/>
                <w:bCs/>
                <w:kern w:val="0"/>
              </w:rPr>
              <w:t>特殊功能需求</w:t>
            </w:r>
          </w:p>
        </w:tc>
        <w:tc>
          <w:tcPr>
            <w:tcW w:w="4823" w:type="dxa"/>
            <w:tcBorders>
              <w:top w:val="single" w:color="auto" w:sz="4" w:space="0"/>
              <w:left w:val="nil"/>
              <w:bottom w:val="single" w:color="auto" w:sz="4" w:space="0"/>
              <w:right w:val="single" w:color="auto" w:sz="4" w:space="0"/>
            </w:tcBorders>
            <w:shd w:val="clear" w:color="000000" w:fill="auto"/>
            <w:vAlign w:val="center"/>
          </w:tcPr>
          <w:p>
            <w:pPr>
              <w:adjustRightInd w:val="0"/>
              <w:snapToGrid w:val="0"/>
              <w:spacing w:beforeLines="50" w:line="240" w:lineRule="atLeast"/>
              <w:rPr>
                <w:rFonts w:cs="Times New Roman" w:asciiTheme="majorEastAsia" w:hAnsiTheme="majorEastAsia" w:eastAsiaTheme="majorEastAsia"/>
              </w:rPr>
            </w:pPr>
            <w:r>
              <w:rPr>
                <w:rFonts w:hint="eastAsia" w:cs="Times New Roman" w:asciiTheme="majorEastAsia" w:hAnsiTheme="majorEastAsia" w:eastAsiaTheme="majorEastAsia"/>
              </w:rPr>
              <w:t>无</w:t>
            </w:r>
          </w:p>
        </w:tc>
        <w:tc>
          <w:tcPr>
            <w:tcW w:w="1528" w:type="dxa"/>
            <w:tcBorders>
              <w:top w:val="single" w:color="auto" w:sz="4" w:space="0"/>
              <w:left w:val="nil"/>
              <w:bottom w:val="single" w:color="auto" w:sz="4" w:space="0"/>
              <w:right w:val="single" w:color="auto" w:sz="8" w:space="0"/>
            </w:tcBorders>
            <w:shd w:val="clear" w:color="000000" w:fill="auto"/>
            <w:vAlign w:val="center"/>
          </w:tcPr>
          <w:p>
            <w:pPr>
              <w:widowControl/>
              <w:spacing w:line="240" w:lineRule="auto"/>
              <w:jc w:val="center"/>
              <w:rPr>
                <w:rFonts w:cs="Times New Roman" w:asciiTheme="majorEastAsia" w:hAnsiTheme="majorEastAsia" w:eastAsiaTheme="majorEastAsia"/>
                <w:kern w:val="0"/>
              </w:rPr>
            </w:pPr>
          </w:p>
        </w:tc>
      </w:tr>
      <w:tr>
        <w:tblPrEx>
          <w:tblCellMar>
            <w:top w:w="0" w:type="dxa"/>
            <w:left w:w="108" w:type="dxa"/>
            <w:bottom w:w="0" w:type="dxa"/>
            <w:right w:w="108" w:type="dxa"/>
          </w:tblCellMar>
        </w:tblPrEx>
        <w:trPr>
          <w:trHeight w:val="690" w:hRule="atLeast"/>
        </w:trPr>
        <w:tc>
          <w:tcPr>
            <w:tcW w:w="1111" w:type="dxa"/>
            <w:tcBorders>
              <w:top w:val="nil"/>
              <w:left w:val="single" w:color="auto" w:sz="8" w:space="0"/>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b/>
                <w:kern w:val="0"/>
              </w:rPr>
            </w:pPr>
            <w:r>
              <w:rPr>
                <w:rFonts w:cs="Times New Roman" w:asciiTheme="majorEastAsia" w:hAnsiTheme="majorEastAsia" w:eastAsiaTheme="majorEastAsia"/>
                <w:b/>
                <w:kern w:val="0"/>
              </w:rPr>
              <w:t>2</w:t>
            </w:r>
          </w:p>
        </w:tc>
        <w:tc>
          <w:tcPr>
            <w:tcW w:w="1843" w:type="dxa"/>
            <w:tcBorders>
              <w:top w:val="nil"/>
              <w:left w:val="nil"/>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b/>
                <w:bCs/>
                <w:kern w:val="0"/>
              </w:rPr>
            </w:pPr>
            <w:r>
              <w:rPr>
                <w:rFonts w:cs="Times New Roman" w:asciiTheme="majorEastAsia" w:hAnsiTheme="majorEastAsia" w:eastAsiaTheme="majorEastAsia"/>
                <w:b/>
                <w:bCs/>
                <w:kern w:val="0"/>
              </w:rPr>
              <w:t>主要技术参数</w:t>
            </w:r>
            <w:r>
              <w:rPr>
                <w:rFonts w:cs="Times New Roman" w:asciiTheme="majorEastAsia" w:hAnsiTheme="majorEastAsia" w:eastAsiaTheme="majorEastAsia"/>
                <w:b/>
                <w:bCs/>
                <w:kern w:val="0"/>
              </w:rPr>
              <w:br w:type="textWrapping"/>
            </w:r>
            <w:r>
              <w:rPr>
                <w:rFonts w:cs="Times New Roman" w:asciiTheme="majorEastAsia" w:hAnsiTheme="majorEastAsia" w:eastAsiaTheme="majorEastAsia"/>
                <w:b/>
                <w:bCs/>
                <w:kern w:val="0"/>
              </w:rPr>
              <w:t>（一行只写一个参数）</w:t>
            </w:r>
          </w:p>
        </w:tc>
        <w:tc>
          <w:tcPr>
            <w:tcW w:w="4823" w:type="dxa"/>
            <w:tcBorders>
              <w:top w:val="nil"/>
              <w:left w:val="nil"/>
              <w:bottom w:val="single" w:color="auto" w:sz="4" w:space="0"/>
              <w:right w:val="single" w:color="auto" w:sz="4" w:space="0"/>
            </w:tcBorders>
            <w:vAlign w:val="center"/>
          </w:tcPr>
          <w:p>
            <w:pPr>
              <w:widowControl/>
              <w:spacing w:line="240" w:lineRule="auto"/>
              <w:rPr>
                <w:rFonts w:cs="Times New Roman" w:asciiTheme="majorEastAsia" w:hAnsiTheme="majorEastAsia" w:eastAsiaTheme="majorEastAsia"/>
                <w:kern w:val="0"/>
              </w:rPr>
            </w:pPr>
          </w:p>
        </w:tc>
        <w:tc>
          <w:tcPr>
            <w:tcW w:w="1528" w:type="dxa"/>
            <w:tcBorders>
              <w:top w:val="nil"/>
              <w:left w:val="nil"/>
              <w:bottom w:val="single" w:color="auto" w:sz="4" w:space="0"/>
              <w:right w:val="single" w:color="auto" w:sz="8" w:space="0"/>
            </w:tcBorders>
            <w:vAlign w:val="center"/>
          </w:tcPr>
          <w:p>
            <w:pPr>
              <w:rPr>
                <w:rFonts w:ascii="宋体" w:hAnsi="宋体" w:cs="宋体"/>
                <w:b/>
                <w:bCs/>
              </w:rPr>
            </w:pPr>
          </w:p>
        </w:tc>
      </w:tr>
      <w:tr>
        <w:tblPrEx>
          <w:tblCellMar>
            <w:top w:w="0" w:type="dxa"/>
            <w:left w:w="108" w:type="dxa"/>
            <w:bottom w:w="0" w:type="dxa"/>
            <w:right w:w="108" w:type="dxa"/>
          </w:tblCellMar>
        </w:tblPrEx>
        <w:trPr>
          <w:trHeight w:val="907" w:hRule="atLeast"/>
        </w:trPr>
        <w:tc>
          <w:tcPr>
            <w:tcW w:w="1111" w:type="dxa"/>
            <w:tcBorders>
              <w:top w:val="nil"/>
              <w:left w:val="single" w:color="auto" w:sz="8" w:space="0"/>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2.1</w:t>
            </w:r>
          </w:p>
        </w:tc>
        <w:tc>
          <w:tcPr>
            <w:tcW w:w="1843" w:type="dxa"/>
            <w:tcBorders>
              <w:top w:val="nil"/>
              <w:left w:val="nil"/>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★参数1</w:t>
            </w:r>
          </w:p>
        </w:tc>
        <w:tc>
          <w:tcPr>
            <w:tcW w:w="4823" w:type="dxa"/>
            <w:tcBorders>
              <w:top w:val="nil"/>
              <w:left w:val="nil"/>
              <w:bottom w:val="single" w:color="auto" w:sz="4" w:space="0"/>
              <w:right w:val="single" w:color="auto" w:sz="4" w:space="0"/>
            </w:tcBorders>
            <w:vAlign w:val="center"/>
          </w:tcPr>
          <w:p>
            <w:pPr>
              <w:adjustRightInd w:val="0"/>
              <w:snapToGrid w:val="0"/>
              <w:spacing w:beforeLines="50" w:line="240" w:lineRule="atLeast"/>
              <w:rPr>
                <w:rFonts w:cs="Times New Roman" w:asciiTheme="majorEastAsia" w:hAnsiTheme="majorEastAsia" w:eastAsiaTheme="majorEastAsia"/>
              </w:rPr>
            </w:pPr>
            <w:r>
              <w:rPr>
                <w:rFonts w:hint="eastAsia" w:cs="Times New Roman" w:asciiTheme="majorEastAsia" w:hAnsiTheme="majorEastAsia" w:eastAsiaTheme="majorEastAsia"/>
              </w:rPr>
              <w:t>采用低能量智能双相波除颤，</w:t>
            </w:r>
            <w:r>
              <w:rPr>
                <w:rFonts w:hint="eastAsia" w:ascii="宋体" w:hAnsi="宋体"/>
              </w:rPr>
              <w:t>除颤能量≤200J，</w:t>
            </w:r>
            <w:r>
              <w:rPr>
                <w:rFonts w:hint="eastAsia" w:cs="Times New Roman" w:asciiTheme="majorEastAsia" w:hAnsiTheme="majorEastAsia" w:eastAsiaTheme="majorEastAsia"/>
              </w:rPr>
              <w:t>根据病人阻抗调整除颤波形，保证有效的经心电流。</w:t>
            </w:r>
          </w:p>
        </w:tc>
        <w:tc>
          <w:tcPr>
            <w:tcW w:w="1528" w:type="dxa"/>
            <w:tcBorders>
              <w:top w:val="nil"/>
              <w:left w:val="nil"/>
              <w:bottom w:val="single" w:color="auto" w:sz="4" w:space="0"/>
              <w:right w:val="single" w:color="auto" w:sz="8" w:space="0"/>
            </w:tcBorders>
            <w:vAlign w:val="center"/>
          </w:tcPr>
          <w:p>
            <w:pPr>
              <w:spacing w:line="240" w:lineRule="auto"/>
              <w:rPr>
                <w:rFonts w:ascii="宋体" w:hAnsi="宋体" w:cs="宋体"/>
              </w:rPr>
            </w:pPr>
          </w:p>
        </w:tc>
      </w:tr>
      <w:tr>
        <w:tblPrEx>
          <w:tblCellMar>
            <w:top w:w="0" w:type="dxa"/>
            <w:left w:w="108" w:type="dxa"/>
            <w:bottom w:w="0" w:type="dxa"/>
            <w:right w:w="108" w:type="dxa"/>
          </w:tblCellMar>
        </w:tblPrEx>
        <w:trPr>
          <w:trHeight w:val="586" w:hRule="atLeast"/>
        </w:trPr>
        <w:tc>
          <w:tcPr>
            <w:tcW w:w="1111" w:type="dxa"/>
            <w:tcBorders>
              <w:top w:val="single" w:color="auto" w:sz="4" w:space="0"/>
              <w:left w:val="single" w:color="auto" w:sz="8" w:space="0"/>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2.2</w:t>
            </w:r>
          </w:p>
        </w:tc>
        <w:tc>
          <w:tcPr>
            <w:tcW w:w="184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★参数2</w:t>
            </w:r>
          </w:p>
        </w:tc>
        <w:tc>
          <w:tcPr>
            <w:tcW w:w="4823" w:type="dxa"/>
            <w:tcBorders>
              <w:top w:val="single" w:color="auto" w:sz="4" w:space="0"/>
              <w:left w:val="nil"/>
              <w:bottom w:val="single" w:color="auto" w:sz="4" w:space="0"/>
              <w:right w:val="single" w:color="auto" w:sz="4" w:space="0"/>
            </w:tcBorders>
            <w:vAlign w:val="center"/>
          </w:tcPr>
          <w:p>
            <w:pPr>
              <w:pStyle w:val="46"/>
              <w:spacing w:line="276" w:lineRule="auto"/>
              <w:ind w:firstLine="0"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显示屏幕</w:t>
            </w:r>
            <w:r>
              <w:rPr>
                <w:rFonts w:asciiTheme="majorEastAsia" w:hAnsiTheme="majorEastAsia" w:eastAsiaTheme="majorEastAsia"/>
              </w:rPr>
              <w:t>≥</w:t>
            </w:r>
            <w:r>
              <w:rPr>
                <w:rFonts w:hint="eastAsia" w:asciiTheme="majorEastAsia" w:hAnsiTheme="majorEastAsia" w:eastAsiaTheme="majorEastAsia"/>
              </w:rPr>
              <w:t>6.5寸高分辨率彩色显示屏</w:t>
            </w:r>
          </w:p>
        </w:tc>
        <w:tc>
          <w:tcPr>
            <w:tcW w:w="1528" w:type="dxa"/>
            <w:tcBorders>
              <w:top w:val="single" w:color="auto" w:sz="4" w:space="0"/>
              <w:left w:val="nil"/>
              <w:bottom w:val="single" w:color="auto" w:sz="4" w:space="0"/>
              <w:right w:val="single" w:color="auto" w:sz="8" w:space="0"/>
            </w:tcBorders>
            <w:vAlign w:val="center"/>
          </w:tcPr>
          <w:p>
            <w:pPr>
              <w:rPr>
                <w:rFonts w:ascii="宋体" w:hAnsi="宋体" w:cs="宋体"/>
              </w:rPr>
            </w:pPr>
          </w:p>
        </w:tc>
      </w:tr>
      <w:tr>
        <w:tblPrEx>
          <w:tblCellMar>
            <w:top w:w="0" w:type="dxa"/>
            <w:left w:w="108" w:type="dxa"/>
            <w:bottom w:w="0" w:type="dxa"/>
            <w:right w:w="108" w:type="dxa"/>
          </w:tblCellMar>
        </w:tblPrEx>
        <w:trPr>
          <w:trHeight w:val="586" w:hRule="atLeast"/>
        </w:trPr>
        <w:tc>
          <w:tcPr>
            <w:tcW w:w="1111" w:type="dxa"/>
            <w:tcBorders>
              <w:top w:val="single" w:color="auto" w:sz="4" w:space="0"/>
              <w:left w:val="single" w:color="auto" w:sz="8" w:space="0"/>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kern w:val="0"/>
              </w:rPr>
            </w:pPr>
            <w:r>
              <w:rPr>
                <w:rFonts w:hint="eastAsia" w:cs="Times New Roman" w:asciiTheme="majorEastAsia" w:hAnsiTheme="majorEastAsia" w:eastAsiaTheme="majorEastAsia"/>
                <w:kern w:val="0"/>
              </w:rPr>
              <w:t>2.3</w:t>
            </w:r>
          </w:p>
        </w:tc>
        <w:tc>
          <w:tcPr>
            <w:tcW w:w="184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★参数</w:t>
            </w:r>
            <w:r>
              <w:rPr>
                <w:rFonts w:hint="eastAsia" w:cs="Times New Roman" w:asciiTheme="majorEastAsia" w:hAnsiTheme="majorEastAsia" w:eastAsiaTheme="majorEastAsia"/>
                <w:kern w:val="0"/>
              </w:rPr>
              <w:t>3</w:t>
            </w:r>
          </w:p>
        </w:tc>
        <w:tc>
          <w:tcPr>
            <w:tcW w:w="4823" w:type="dxa"/>
            <w:tcBorders>
              <w:top w:val="single" w:color="auto" w:sz="4" w:space="0"/>
              <w:left w:val="nil"/>
              <w:bottom w:val="single" w:color="auto" w:sz="4" w:space="0"/>
              <w:right w:val="single" w:color="auto" w:sz="4" w:space="0"/>
            </w:tcBorders>
            <w:vAlign w:val="center"/>
          </w:tcPr>
          <w:p>
            <w:pPr>
              <w:pStyle w:val="46"/>
              <w:spacing w:line="276" w:lineRule="auto"/>
              <w:ind w:firstLine="0" w:firstLineChars="0"/>
              <w:rPr>
                <w:rFonts w:asciiTheme="majorEastAsia" w:hAnsiTheme="majorEastAsia" w:eastAsiaTheme="majorEastAsia"/>
                <w:sz w:val="24"/>
                <w:szCs w:val="24"/>
              </w:rPr>
            </w:pPr>
            <w:r>
              <w:rPr>
                <w:rFonts w:hint="eastAsia" w:ascii="宋体" w:hAnsi="宋体" w:eastAsia="宋体"/>
                <w:sz w:val="24"/>
                <w:szCs w:val="24"/>
              </w:rPr>
              <w:t>手动除颤最低能量为1J，且1-10J都均可选，除颤能量选择采用旋钮式</w:t>
            </w:r>
          </w:p>
        </w:tc>
        <w:tc>
          <w:tcPr>
            <w:tcW w:w="1528" w:type="dxa"/>
            <w:tcBorders>
              <w:top w:val="single" w:color="auto" w:sz="4" w:space="0"/>
              <w:left w:val="nil"/>
              <w:bottom w:val="single" w:color="auto" w:sz="4" w:space="0"/>
              <w:right w:val="single" w:color="auto" w:sz="8" w:space="0"/>
            </w:tcBorders>
            <w:vAlign w:val="center"/>
          </w:tcPr>
          <w:p>
            <w:pPr>
              <w:rPr>
                <w:rFonts w:ascii="宋体" w:hAnsi="宋体" w:cs="宋体"/>
              </w:rPr>
            </w:pPr>
          </w:p>
        </w:tc>
      </w:tr>
      <w:tr>
        <w:tblPrEx>
          <w:tblCellMar>
            <w:top w:w="0" w:type="dxa"/>
            <w:left w:w="108" w:type="dxa"/>
            <w:bottom w:w="0" w:type="dxa"/>
            <w:right w:w="108" w:type="dxa"/>
          </w:tblCellMar>
        </w:tblPrEx>
        <w:trPr>
          <w:trHeight w:val="533" w:hRule="atLeast"/>
        </w:trPr>
        <w:tc>
          <w:tcPr>
            <w:tcW w:w="1111" w:type="dxa"/>
            <w:tcBorders>
              <w:top w:val="single" w:color="auto" w:sz="4" w:space="0"/>
              <w:left w:val="single" w:color="auto" w:sz="8" w:space="0"/>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kern w:val="0"/>
              </w:rPr>
            </w:pPr>
            <w:r>
              <w:rPr>
                <w:rFonts w:hint="eastAsia" w:cs="Times New Roman" w:asciiTheme="majorEastAsia" w:hAnsiTheme="majorEastAsia" w:eastAsiaTheme="majorEastAsia"/>
                <w:kern w:val="0"/>
              </w:rPr>
              <w:t>2.4</w:t>
            </w:r>
          </w:p>
        </w:tc>
        <w:tc>
          <w:tcPr>
            <w:tcW w:w="184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kern w:val="0"/>
              </w:rPr>
            </w:pPr>
            <w:r>
              <w:rPr>
                <w:rFonts w:hint="eastAsia" w:cs="Times New Roman" w:asciiTheme="majorEastAsia" w:hAnsiTheme="majorEastAsia" w:eastAsiaTheme="majorEastAsia"/>
                <w:kern w:val="0"/>
              </w:rPr>
              <w:t>▲</w:t>
            </w:r>
            <w:r>
              <w:rPr>
                <w:rFonts w:cs="Times New Roman" w:asciiTheme="majorEastAsia" w:hAnsiTheme="majorEastAsia" w:eastAsiaTheme="majorEastAsia"/>
                <w:kern w:val="0"/>
              </w:rPr>
              <w:t>参数</w:t>
            </w:r>
            <w:r>
              <w:rPr>
                <w:rFonts w:hint="eastAsia" w:cs="Times New Roman" w:asciiTheme="majorEastAsia" w:hAnsiTheme="majorEastAsia" w:eastAsiaTheme="majorEastAsia"/>
                <w:kern w:val="0"/>
              </w:rPr>
              <w:t>4</w:t>
            </w:r>
          </w:p>
        </w:tc>
        <w:tc>
          <w:tcPr>
            <w:tcW w:w="4823" w:type="dxa"/>
            <w:tcBorders>
              <w:top w:val="single" w:color="auto" w:sz="4" w:space="0"/>
              <w:left w:val="nil"/>
              <w:bottom w:val="single" w:color="auto" w:sz="4" w:space="0"/>
              <w:right w:val="single" w:color="auto" w:sz="4" w:space="0"/>
            </w:tcBorders>
            <w:vAlign w:val="center"/>
          </w:tcPr>
          <w:p>
            <w:pPr>
              <w:widowControl/>
              <w:spacing w:line="240" w:lineRule="auto"/>
              <w:rPr>
                <w:rFonts w:cs="Times New Roman" w:asciiTheme="majorEastAsia" w:hAnsiTheme="majorEastAsia" w:eastAsiaTheme="majorEastAsia"/>
              </w:rPr>
            </w:pPr>
            <w:r>
              <w:rPr>
                <w:rFonts w:hint="eastAsia" w:asciiTheme="majorEastAsia" w:hAnsiTheme="majorEastAsia" w:eastAsiaTheme="majorEastAsia"/>
              </w:rPr>
              <w:t>防水、防固体渗入等级≥IP54</w:t>
            </w:r>
          </w:p>
        </w:tc>
        <w:tc>
          <w:tcPr>
            <w:tcW w:w="1528" w:type="dxa"/>
            <w:tcBorders>
              <w:top w:val="single" w:color="auto" w:sz="4" w:space="0"/>
              <w:left w:val="nil"/>
              <w:bottom w:val="single" w:color="auto" w:sz="4" w:space="0"/>
              <w:right w:val="single" w:color="auto" w:sz="8" w:space="0"/>
            </w:tcBorders>
            <w:vAlign w:val="center"/>
          </w:tcPr>
          <w:p>
            <w:pPr>
              <w:spacing w:line="240" w:lineRule="auto"/>
              <w:rPr>
                <w:rFonts w:ascii="宋体" w:hAnsi="宋体" w:cs="宋体"/>
              </w:rPr>
            </w:pPr>
          </w:p>
        </w:tc>
      </w:tr>
      <w:tr>
        <w:tblPrEx>
          <w:tblCellMar>
            <w:top w:w="0" w:type="dxa"/>
            <w:left w:w="108" w:type="dxa"/>
            <w:bottom w:w="0" w:type="dxa"/>
            <w:right w:w="108" w:type="dxa"/>
          </w:tblCellMar>
        </w:tblPrEx>
        <w:trPr>
          <w:trHeight w:val="1199" w:hRule="atLeast"/>
        </w:trPr>
        <w:tc>
          <w:tcPr>
            <w:tcW w:w="1111" w:type="dxa"/>
            <w:tcBorders>
              <w:top w:val="single" w:color="auto" w:sz="4" w:space="0"/>
              <w:left w:val="single" w:color="auto" w:sz="8" w:space="0"/>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2.</w:t>
            </w:r>
            <w:r>
              <w:rPr>
                <w:rFonts w:hint="eastAsia" w:cs="Times New Roman" w:asciiTheme="majorEastAsia" w:hAnsiTheme="majorEastAsia" w:eastAsiaTheme="majorEastAsia"/>
                <w:kern w:val="0"/>
              </w:rPr>
              <w:t>5</w:t>
            </w:r>
          </w:p>
        </w:tc>
        <w:tc>
          <w:tcPr>
            <w:tcW w:w="1843" w:type="dxa"/>
            <w:tcBorders>
              <w:top w:val="single" w:color="auto" w:sz="4" w:space="0"/>
              <w:left w:val="nil"/>
              <w:bottom w:val="single" w:color="auto" w:sz="4" w:space="0"/>
              <w:right w:val="single" w:color="auto" w:sz="4" w:space="0"/>
            </w:tcBorders>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kern w:val="0"/>
              </w:rPr>
              <w:t>▲</w:t>
            </w:r>
            <w:r>
              <w:rPr>
                <w:rFonts w:cs="Times New Roman" w:asciiTheme="majorEastAsia" w:hAnsiTheme="majorEastAsia" w:eastAsiaTheme="majorEastAsia"/>
                <w:kern w:val="0"/>
              </w:rPr>
              <w:t>参数</w:t>
            </w:r>
            <w:r>
              <w:rPr>
                <w:rFonts w:hint="eastAsia" w:cs="Times New Roman" w:asciiTheme="majorEastAsia" w:hAnsiTheme="majorEastAsia" w:eastAsiaTheme="majorEastAsia"/>
                <w:kern w:val="0"/>
              </w:rPr>
              <w:t>5</w:t>
            </w:r>
          </w:p>
        </w:tc>
        <w:tc>
          <w:tcPr>
            <w:tcW w:w="4823" w:type="dxa"/>
            <w:tcBorders>
              <w:top w:val="single" w:color="auto" w:sz="4" w:space="0"/>
              <w:left w:val="nil"/>
              <w:bottom w:val="single" w:color="auto" w:sz="4" w:space="0"/>
              <w:right w:val="single" w:color="auto" w:sz="4" w:space="0"/>
            </w:tcBorders>
            <w:vAlign w:val="center"/>
          </w:tcPr>
          <w:p>
            <w:pPr>
              <w:pStyle w:val="46"/>
              <w:spacing w:line="276" w:lineRule="auto"/>
              <w:ind w:firstLine="0" w:firstLineChars="0"/>
              <w:rPr>
                <w:rFonts w:asciiTheme="majorEastAsia" w:hAnsiTheme="majorEastAsia" w:eastAsiaTheme="majorEastAsia"/>
                <w:sz w:val="24"/>
                <w:szCs w:val="24"/>
              </w:rPr>
            </w:pPr>
            <w:r>
              <w:rPr>
                <w:rFonts w:hint="eastAsia" w:ascii="宋体" w:hAnsi="宋体"/>
                <w:bCs/>
              </w:rPr>
              <w:t>成人儿童一体化除颤电极板，具备病人接触是否良好的指示灯</w:t>
            </w:r>
          </w:p>
        </w:tc>
        <w:tc>
          <w:tcPr>
            <w:tcW w:w="1528" w:type="dxa"/>
            <w:tcBorders>
              <w:top w:val="single" w:color="auto" w:sz="4" w:space="0"/>
              <w:left w:val="nil"/>
              <w:bottom w:val="single" w:color="auto" w:sz="4" w:space="0"/>
              <w:right w:val="single" w:color="auto" w:sz="8" w:space="0"/>
            </w:tcBorders>
            <w:vAlign w:val="center"/>
          </w:tcPr>
          <w:p>
            <w:pPr>
              <w:widowControl/>
              <w:spacing w:line="240" w:lineRule="auto"/>
              <w:rPr>
                <w:rFonts w:ascii="宋体" w:hAnsi="宋体" w:cs="宋体"/>
                <w:kern w:val="0"/>
              </w:rPr>
            </w:pPr>
          </w:p>
        </w:tc>
      </w:tr>
      <w:tr>
        <w:tblPrEx>
          <w:tblCellMar>
            <w:top w:w="0" w:type="dxa"/>
            <w:left w:w="108" w:type="dxa"/>
            <w:bottom w:w="0" w:type="dxa"/>
            <w:right w:w="108" w:type="dxa"/>
          </w:tblCellMar>
        </w:tblPrEx>
        <w:trPr>
          <w:trHeight w:val="554" w:hRule="atLeast"/>
        </w:trPr>
        <w:tc>
          <w:tcPr>
            <w:tcW w:w="1111" w:type="dxa"/>
            <w:tcBorders>
              <w:top w:val="single" w:color="auto" w:sz="4" w:space="0"/>
              <w:left w:val="single" w:color="auto" w:sz="8" w:space="0"/>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kern w:val="0"/>
              </w:rPr>
            </w:pPr>
            <w:r>
              <w:rPr>
                <w:rFonts w:hint="eastAsia" w:cs="Times New Roman" w:asciiTheme="majorEastAsia" w:hAnsiTheme="majorEastAsia" w:eastAsiaTheme="majorEastAsia"/>
                <w:kern w:val="0"/>
              </w:rPr>
              <w:t>2.6</w:t>
            </w:r>
          </w:p>
        </w:tc>
        <w:tc>
          <w:tcPr>
            <w:tcW w:w="1843" w:type="dxa"/>
            <w:tcBorders>
              <w:top w:val="single" w:color="auto" w:sz="4" w:space="0"/>
              <w:left w:val="nil"/>
              <w:bottom w:val="single" w:color="auto" w:sz="4" w:space="0"/>
              <w:right w:val="single" w:color="auto" w:sz="4" w:space="0"/>
            </w:tcBorders>
            <w:vAlign w:val="center"/>
          </w:tcPr>
          <w:p>
            <w:pPr>
              <w:jc w:val="center"/>
              <w:rPr>
                <w:rFonts w:cs="Times New Roman" w:asciiTheme="majorEastAsia" w:hAnsiTheme="majorEastAsia" w:eastAsiaTheme="majorEastAsia"/>
                <w:kern w:val="0"/>
              </w:rPr>
            </w:pPr>
            <w:r>
              <w:rPr>
                <w:rFonts w:hint="eastAsia" w:cs="Times New Roman" w:asciiTheme="majorEastAsia" w:hAnsiTheme="majorEastAsia" w:eastAsiaTheme="majorEastAsia"/>
                <w:kern w:val="0"/>
              </w:rPr>
              <w:t>▲</w:t>
            </w:r>
            <w:r>
              <w:rPr>
                <w:rFonts w:cs="Times New Roman" w:asciiTheme="majorEastAsia" w:hAnsiTheme="majorEastAsia" w:eastAsiaTheme="majorEastAsia"/>
                <w:kern w:val="0"/>
              </w:rPr>
              <w:t>参数</w:t>
            </w:r>
            <w:r>
              <w:rPr>
                <w:rFonts w:hint="eastAsia" w:cs="Times New Roman" w:asciiTheme="majorEastAsia" w:hAnsiTheme="majorEastAsia" w:eastAsiaTheme="majorEastAsia"/>
                <w:kern w:val="0"/>
              </w:rPr>
              <w:t>6</w:t>
            </w:r>
          </w:p>
        </w:tc>
        <w:tc>
          <w:tcPr>
            <w:tcW w:w="4823" w:type="dxa"/>
            <w:tcBorders>
              <w:top w:val="single" w:color="auto" w:sz="4" w:space="0"/>
              <w:left w:val="nil"/>
              <w:bottom w:val="single" w:color="auto" w:sz="4" w:space="0"/>
              <w:right w:val="single" w:color="auto" w:sz="4" w:space="0"/>
            </w:tcBorders>
            <w:vAlign w:val="center"/>
          </w:tcPr>
          <w:p>
            <w:pPr>
              <w:pStyle w:val="46"/>
              <w:spacing w:line="276" w:lineRule="auto"/>
              <w:ind w:firstLine="0" w:firstLineChars="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具备状态指示器</w:t>
            </w:r>
          </w:p>
        </w:tc>
        <w:tc>
          <w:tcPr>
            <w:tcW w:w="1528" w:type="dxa"/>
            <w:tcBorders>
              <w:top w:val="single" w:color="auto" w:sz="4" w:space="0"/>
              <w:left w:val="nil"/>
              <w:bottom w:val="single" w:color="auto" w:sz="4" w:space="0"/>
              <w:right w:val="single" w:color="auto" w:sz="8" w:space="0"/>
            </w:tcBorders>
            <w:vAlign w:val="center"/>
          </w:tcPr>
          <w:p>
            <w:pPr>
              <w:widowControl/>
              <w:spacing w:line="240" w:lineRule="auto"/>
              <w:rPr>
                <w:rFonts w:asciiTheme="minorEastAsia" w:hAnsiTheme="minorEastAsia" w:eastAsiaTheme="minorEastAsia" w:cstheme="minorEastAsia"/>
              </w:rPr>
            </w:pPr>
          </w:p>
        </w:tc>
      </w:tr>
      <w:tr>
        <w:tblPrEx>
          <w:tblCellMar>
            <w:top w:w="0" w:type="dxa"/>
            <w:left w:w="108" w:type="dxa"/>
            <w:bottom w:w="0" w:type="dxa"/>
            <w:right w:w="108" w:type="dxa"/>
          </w:tblCellMar>
        </w:tblPrEx>
        <w:trPr>
          <w:trHeight w:val="554" w:hRule="atLeast"/>
        </w:trPr>
        <w:tc>
          <w:tcPr>
            <w:tcW w:w="1111" w:type="dxa"/>
            <w:tcBorders>
              <w:top w:val="single" w:color="auto" w:sz="4" w:space="0"/>
              <w:left w:val="single" w:color="auto" w:sz="8" w:space="0"/>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kern w:val="0"/>
              </w:rPr>
            </w:pPr>
            <w:r>
              <w:rPr>
                <w:rFonts w:hint="eastAsia" w:cs="Times New Roman" w:asciiTheme="majorEastAsia" w:hAnsiTheme="majorEastAsia" w:eastAsiaTheme="majorEastAsia"/>
                <w:kern w:val="0"/>
              </w:rPr>
              <w:t>2.7</w:t>
            </w:r>
          </w:p>
        </w:tc>
        <w:tc>
          <w:tcPr>
            <w:tcW w:w="1843" w:type="dxa"/>
            <w:tcBorders>
              <w:top w:val="single" w:color="auto" w:sz="4" w:space="0"/>
              <w:left w:val="nil"/>
              <w:bottom w:val="single" w:color="auto" w:sz="4" w:space="0"/>
              <w:right w:val="single" w:color="auto" w:sz="4" w:space="0"/>
            </w:tcBorders>
            <w:vAlign w:val="center"/>
          </w:tcPr>
          <w:p>
            <w:pPr>
              <w:jc w:val="center"/>
              <w:rPr>
                <w:rFonts w:cs="Times New Roman" w:asciiTheme="majorEastAsia" w:hAnsiTheme="majorEastAsia" w:eastAsiaTheme="majorEastAsia"/>
                <w:kern w:val="0"/>
              </w:rPr>
            </w:pPr>
            <w:r>
              <w:rPr>
                <w:rFonts w:hint="eastAsia" w:cs="Times New Roman" w:asciiTheme="majorEastAsia" w:hAnsiTheme="majorEastAsia" w:eastAsiaTheme="majorEastAsia"/>
                <w:kern w:val="0"/>
              </w:rPr>
              <w:t>▲参数7</w:t>
            </w:r>
          </w:p>
        </w:tc>
        <w:tc>
          <w:tcPr>
            <w:tcW w:w="4823" w:type="dxa"/>
            <w:tcBorders>
              <w:top w:val="single" w:color="auto" w:sz="4" w:space="0"/>
              <w:left w:val="nil"/>
              <w:bottom w:val="single" w:color="auto" w:sz="4" w:space="0"/>
              <w:right w:val="single" w:color="auto" w:sz="4" w:space="0"/>
            </w:tcBorders>
            <w:vAlign w:val="center"/>
          </w:tcPr>
          <w:p>
            <w:pPr>
              <w:pStyle w:val="46"/>
              <w:spacing w:line="276" w:lineRule="auto"/>
              <w:ind w:firstLine="0" w:firstLineChars="0"/>
              <w:rPr>
                <w:rFonts w:asciiTheme="majorEastAsia" w:hAnsiTheme="majorEastAsia" w:eastAsiaTheme="majorEastAsia"/>
              </w:rPr>
            </w:pPr>
            <w:r>
              <w:rPr>
                <w:rFonts w:hint="eastAsia" w:asciiTheme="minorEastAsia" w:hAnsiTheme="minorEastAsia" w:eastAsiaTheme="minorEastAsia" w:cstheme="minorEastAsia"/>
                <w:sz w:val="24"/>
                <w:szCs w:val="24"/>
              </w:rPr>
              <w:t>具备关机自检功能，无论设备时在关机状态还是工作状态，都具备每小时，每天，每周定期自检（需提供证明材料）</w:t>
            </w:r>
          </w:p>
        </w:tc>
        <w:tc>
          <w:tcPr>
            <w:tcW w:w="1528" w:type="dxa"/>
            <w:tcBorders>
              <w:top w:val="single" w:color="auto" w:sz="4" w:space="0"/>
              <w:left w:val="nil"/>
              <w:bottom w:val="single" w:color="auto" w:sz="4" w:space="0"/>
              <w:right w:val="single" w:color="auto" w:sz="8" w:space="0"/>
            </w:tcBorders>
            <w:vAlign w:val="center"/>
          </w:tcPr>
          <w:p>
            <w:pPr>
              <w:widowControl/>
              <w:spacing w:line="240" w:lineRule="auto"/>
              <w:rPr>
                <w:rFonts w:ascii="宋体" w:hAnsi="宋体" w:cs="宋体"/>
                <w:kern w:val="0"/>
              </w:rPr>
            </w:pPr>
          </w:p>
        </w:tc>
      </w:tr>
      <w:tr>
        <w:tblPrEx>
          <w:tblCellMar>
            <w:top w:w="0" w:type="dxa"/>
            <w:left w:w="108" w:type="dxa"/>
            <w:bottom w:w="0" w:type="dxa"/>
            <w:right w:w="108" w:type="dxa"/>
          </w:tblCellMar>
        </w:tblPrEx>
        <w:trPr>
          <w:trHeight w:val="838" w:hRule="atLeast"/>
        </w:trPr>
        <w:tc>
          <w:tcPr>
            <w:tcW w:w="1111" w:type="dxa"/>
            <w:tcBorders>
              <w:top w:val="single" w:color="auto" w:sz="4" w:space="0"/>
              <w:left w:val="single" w:color="auto" w:sz="8" w:space="0"/>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kern w:val="0"/>
              </w:rPr>
            </w:pPr>
            <w:r>
              <w:rPr>
                <w:rFonts w:hint="eastAsia" w:cs="Times New Roman" w:asciiTheme="majorEastAsia" w:hAnsiTheme="majorEastAsia" w:eastAsiaTheme="majorEastAsia"/>
                <w:kern w:val="0"/>
              </w:rPr>
              <w:t>2.8</w:t>
            </w:r>
          </w:p>
        </w:tc>
        <w:tc>
          <w:tcPr>
            <w:tcW w:w="1843" w:type="dxa"/>
            <w:tcBorders>
              <w:top w:val="single" w:color="auto" w:sz="4" w:space="0"/>
              <w:left w:val="nil"/>
              <w:bottom w:val="single" w:color="auto" w:sz="4" w:space="0"/>
              <w:right w:val="single" w:color="auto" w:sz="4" w:space="0"/>
            </w:tcBorders>
            <w:vAlign w:val="center"/>
          </w:tcPr>
          <w:p>
            <w:pPr>
              <w:jc w:val="center"/>
              <w:rPr>
                <w:rFonts w:cs="Times New Roman" w:asciiTheme="majorEastAsia" w:hAnsiTheme="majorEastAsia" w:eastAsiaTheme="majorEastAsia"/>
                <w:kern w:val="0"/>
              </w:rPr>
            </w:pPr>
            <w:r>
              <w:rPr>
                <w:rFonts w:hint="eastAsia" w:cs="Times New Roman" w:asciiTheme="majorEastAsia" w:hAnsiTheme="majorEastAsia" w:eastAsiaTheme="majorEastAsia"/>
                <w:kern w:val="0"/>
              </w:rPr>
              <w:t>参数8</w:t>
            </w:r>
          </w:p>
        </w:tc>
        <w:tc>
          <w:tcPr>
            <w:tcW w:w="4823" w:type="dxa"/>
            <w:tcBorders>
              <w:top w:val="single" w:color="auto" w:sz="4" w:space="0"/>
              <w:left w:val="nil"/>
              <w:bottom w:val="single" w:color="auto" w:sz="4" w:space="0"/>
              <w:right w:val="single" w:color="auto" w:sz="4" w:space="0"/>
            </w:tcBorders>
            <w:vAlign w:val="center"/>
          </w:tcPr>
          <w:p>
            <w:pPr>
              <w:pStyle w:val="46"/>
              <w:spacing w:line="276" w:lineRule="auto"/>
              <w:ind w:firstLine="0" w:firstLineChars="0"/>
              <w:rPr>
                <w:rFonts w:asciiTheme="majorEastAsia" w:hAnsiTheme="majorEastAsia" w:eastAsiaTheme="majorEastAsia"/>
                <w:sz w:val="24"/>
                <w:szCs w:val="24"/>
              </w:rPr>
            </w:pPr>
            <w:r>
              <w:rPr>
                <w:rFonts w:hint="eastAsia" w:asciiTheme="majorEastAsia" w:hAnsiTheme="majorEastAsia" w:eastAsiaTheme="majorEastAsia"/>
              </w:rPr>
              <w:t>AED功能具备一键切换成人及婴幼儿儿童模式</w:t>
            </w:r>
          </w:p>
        </w:tc>
        <w:tc>
          <w:tcPr>
            <w:tcW w:w="1528" w:type="dxa"/>
            <w:tcBorders>
              <w:top w:val="single" w:color="auto" w:sz="4" w:space="0"/>
              <w:left w:val="nil"/>
              <w:bottom w:val="single" w:color="auto" w:sz="4" w:space="0"/>
              <w:right w:val="single" w:color="auto" w:sz="8" w:space="0"/>
            </w:tcBorders>
            <w:vAlign w:val="center"/>
          </w:tcPr>
          <w:p>
            <w:pPr>
              <w:widowControl/>
              <w:spacing w:line="240" w:lineRule="auto"/>
              <w:jc w:val="center"/>
              <w:rPr>
                <w:rFonts w:ascii="宋体" w:hAnsi="宋体" w:cs="宋体"/>
                <w:kern w:val="0"/>
              </w:rPr>
            </w:pPr>
          </w:p>
        </w:tc>
      </w:tr>
      <w:tr>
        <w:tblPrEx>
          <w:tblCellMar>
            <w:top w:w="0" w:type="dxa"/>
            <w:left w:w="108" w:type="dxa"/>
            <w:bottom w:w="0" w:type="dxa"/>
            <w:right w:w="108" w:type="dxa"/>
          </w:tblCellMar>
        </w:tblPrEx>
        <w:trPr>
          <w:trHeight w:val="838" w:hRule="atLeast"/>
        </w:trPr>
        <w:tc>
          <w:tcPr>
            <w:tcW w:w="1111" w:type="dxa"/>
            <w:tcBorders>
              <w:top w:val="single" w:color="auto" w:sz="4" w:space="0"/>
              <w:left w:val="single" w:color="auto" w:sz="8" w:space="0"/>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kern w:val="0"/>
              </w:rPr>
            </w:pPr>
            <w:r>
              <w:rPr>
                <w:rFonts w:hint="eastAsia" w:cs="Times New Roman" w:asciiTheme="majorEastAsia" w:hAnsiTheme="majorEastAsia" w:eastAsiaTheme="majorEastAsia"/>
                <w:kern w:val="0"/>
              </w:rPr>
              <w:t>2.9</w:t>
            </w:r>
          </w:p>
        </w:tc>
        <w:tc>
          <w:tcPr>
            <w:tcW w:w="1843" w:type="dxa"/>
            <w:tcBorders>
              <w:top w:val="single" w:color="auto" w:sz="4" w:space="0"/>
              <w:left w:val="nil"/>
              <w:bottom w:val="single" w:color="auto" w:sz="4" w:space="0"/>
              <w:right w:val="single" w:color="auto" w:sz="4" w:space="0"/>
            </w:tcBorders>
            <w:vAlign w:val="center"/>
          </w:tcPr>
          <w:p>
            <w:pPr>
              <w:jc w:val="center"/>
              <w:rPr>
                <w:rFonts w:cs="Times New Roman" w:asciiTheme="majorEastAsia" w:hAnsiTheme="majorEastAsia" w:eastAsiaTheme="majorEastAsia"/>
                <w:kern w:val="0"/>
              </w:rPr>
            </w:pPr>
            <w:r>
              <w:rPr>
                <w:rFonts w:hint="eastAsia" w:cs="Times New Roman" w:asciiTheme="majorEastAsia" w:hAnsiTheme="majorEastAsia" w:eastAsiaTheme="majorEastAsia"/>
                <w:kern w:val="0"/>
              </w:rPr>
              <w:t>参数9</w:t>
            </w:r>
          </w:p>
        </w:tc>
        <w:tc>
          <w:tcPr>
            <w:tcW w:w="4823" w:type="dxa"/>
            <w:tcBorders>
              <w:top w:val="single" w:color="auto" w:sz="4" w:space="0"/>
              <w:left w:val="nil"/>
              <w:bottom w:val="single" w:color="auto" w:sz="4" w:space="0"/>
              <w:right w:val="single" w:color="auto" w:sz="4" w:space="0"/>
            </w:tcBorders>
            <w:vAlign w:val="center"/>
          </w:tcPr>
          <w:p>
            <w:pPr>
              <w:pStyle w:val="46"/>
              <w:spacing w:line="276" w:lineRule="auto"/>
              <w:ind w:firstLine="0"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标配手动除颤，AED和同步电复律功能</w:t>
            </w:r>
          </w:p>
        </w:tc>
        <w:tc>
          <w:tcPr>
            <w:tcW w:w="1528" w:type="dxa"/>
            <w:tcBorders>
              <w:top w:val="single" w:color="auto" w:sz="4" w:space="0"/>
              <w:left w:val="nil"/>
              <w:bottom w:val="single" w:color="auto" w:sz="4" w:space="0"/>
              <w:right w:val="single" w:color="auto" w:sz="8" w:space="0"/>
            </w:tcBorders>
            <w:vAlign w:val="center"/>
          </w:tcPr>
          <w:p>
            <w:pPr>
              <w:widowControl/>
              <w:spacing w:line="240" w:lineRule="auto"/>
              <w:jc w:val="center"/>
              <w:rPr>
                <w:rFonts w:ascii="宋体" w:hAnsi="宋体" w:cs="宋体"/>
                <w:kern w:val="0"/>
              </w:rPr>
            </w:pPr>
          </w:p>
        </w:tc>
      </w:tr>
      <w:tr>
        <w:tblPrEx>
          <w:tblCellMar>
            <w:top w:w="0" w:type="dxa"/>
            <w:left w:w="108" w:type="dxa"/>
            <w:bottom w:w="0" w:type="dxa"/>
            <w:right w:w="108" w:type="dxa"/>
          </w:tblCellMar>
        </w:tblPrEx>
        <w:trPr>
          <w:trHeight w:val="769" w:hRule="atLeast"/>
        </w:trPr>
        <w:tc>
          <w:tcPr>
            <w:tcW w:w="1111" w:type="dxa"/>
            <w:tcBorders>
              <w:top w:val="single" w:color="auto" w:sz="4" w:space="0"/>
              <w:left w:val="single" w:color="auto" w:sz="8" w:space="0"/>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2.</w:t>
            </w:r>
            <w:r>
              <w:rPr>
                <w:rFonts w:hint="eastAsia" w:cs="Times New Roman" w:asciiTheme="majorEastAsia" w:hAnsiTheme="majorEastAsia" w:eastAsiaTheme="majorEastAsia"/>
                <w:kern w:val="0"/>
              </w:rPr>
              <w:t>10</w:t>
            </w:r>
          </w:p>
        </w:tc>
        <w:tc>
          <w:tcPr>
            <w:tcW w:w="1843" w:type="dxa"/>
            <w:tcBorders>
              <w:top w:val="single" w:color="auto" w:sz="4" w:space="0"/>
              <w:left w:val="nil"/>
              <w:bottom w:val="single" w:color="auto" w:sz="4" w:space="0"/>
              <w:right w:val="single" w:color="auto" w:sz="4" w:space="0"/>
            </w:tcBorders>
            <w:vAlign w:val="center"/>
          </w:tcPr>
          <w:p>
            <w:pPr>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参数</w:t>
            </w:r>
            <w:r>
              <w:rPr>
                <w:rFonts w:hint="eastAsia" w:cs="Times New Roman" w:asciiTheme="majorEastAsia" w:hAnsiTheme="majorEastAsia" w:eastAsiaTheme="majorEastAsia"/>
                <w:kern w:val="0"/>
              </w:rPr>
              <w:t>10</w:t>
            </w:r>
          </w:p>
        </w:tc>
        <w:tc>
          <w:tcPr>
            <w:tcW w:w="4823" w:type="dxa"/>
            <w:tcBorders>
              <w:top w:val="single" w:color="auto" w:sz="4" w:space="0"/>
              <w:left w:val="nil"/>
              <w:bottom w:val="single" w:color="auto" w:sz="4" w:space="0"/>
              <w:right w:val="single" w:color="auto" w:sz="4" w:space="0"/>
            </w:tcBorders>
            <w:vAlign w:val="center"/>
          </w:tcPr>
          <w:p>
            <w:pPr>
              <w:widowControl/>
              <w:spacing w:line="240" w:lineRule="auto"/>
              <w:rPr>
                <w:rFonts w:cs="Times New Roman" w:asciiTheme="majorEastAsia" w:hAnsiTheme="majorEastAsia" w:eastAsiaTheme="majorEastAsia"/>
              </w:rPr>
            </w:pPr>
            <w:r>
              <w:rPr>
                <w:rFonts w:hint="eastAsia" w:cs="Times New Roman" w:asciiTheme="majorEastAsia" w:hAnsiTheme="majorEastAsia" w:eastAsiaTheme="majorEastAsia"/>
              </w:rPr>
              <w:t>标配三导心电监测功能，可升级到五导心电监护</w:t>
            </w:r>
          </w:p>
        </w:tc>
        <w:tc>
          <w:tcPr>
            <w:tcW w:w="1528" w:type="dxa"/>
            <w:tcBorders>
              <w:top w:val="single" w:color="auto" w:sz="4" w:space="0"/>
              <w:left w:val="nil"/>
              <w:bottom w:val="single" w:color="auto" w:sz="4" w:space="0"/>
              <w:right w:val="single" w:color="auto" w:sz="8" w:space="0"/>
            </w:tcBorders>
            <w:vAlign w:val="center"/>
          </w:tcPr>
          <w:p>
            <w:pPr>
              <w:widowControl/>
              <w:spacing w:line="240" w:lineRule="auto"/>
              <w:jc w:val="center"/>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910" w:hRule="atLeast"/>
        </w:trPr>
        <w:tc>
          <w:tcPr>
            <w:tcW w:w="1111" w:type="dxa"/>
            <w:tcBorders>
              <w:top w:val="single" w:color="auto" w:sz="4" w:space="0"/>
              <w:left w:val="single" w:color="auto" w:sz="8" w:space="0"/>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2.</w:t>
            </w:r>
            <w:r>
              <w:rPr>
                <w:rFonts w:hint="eastAsia" w:cs="Times New Roman" w:asciiTheme="majorEastAsia" w:hAnsiTheme="majorEastAsia" w:eastAsiaTheme="majorEastAsia"/>
                <w:kern w:val="0"/>
              </w:rPr>
              <w:t>11</w:t>
            </w:r>
          </w:p>
        </w:tc>
        <w:tc>
          <w:tcPr>
            <w:tcW w:w="1843" w:type="dxa"/>
            <w:tcBorders>
              <w:top w:val="single" w:color="auto" w:sz="4" w:space="0"/>
              <w:left w:val="nil"/>
              <w:bottom w:val="single" w:color="auto" w:sz="4" w:space="0"/>
              <w:right w:val="single" w:color="auto" w:sz="4" w:space="0"/>
            </w:tcBorders>
            <w:vAlign w:val="center"/>
          </w:tcPr>
          <w:p>
            <w:pPr>
              <w:jc w:val="center"/>
              <w:rPr>
                <w:rFonts w:cs="Times New Roman" w:asciiTheme="majorEastAsia" w:hAnsiTheme="majorEastAsia" w:eastAsiaTheme="majorEastAsia"/>
              </w:rPr>
            </w:pPr>
            <w:r>
              <w:rPr>
                <w:rFonts w:cs="Times New Roman" w:asciiTheme="majorEastAsia" w:hAnsiTheme="majorEastAsia" w:eastAsiaTheme="majorEastAsia"/>
                <w:kern w:val="0"/>
              </w:rPr>
              <w:t>参数</w:t>
            </w:r>
            <w:r>
              <w:rPr>
                <w:rFonts w:hint="eastAsia" w:cs="Times New Roman" w:asciiTheme="majorEastAsia" w:hAnsiTheme="majorEastAsia" w:eastAsiaTheme="majorEastAsia"/>
                <w:kern w:val="0"/>
              </w:rPr>
              <w:t>11</w:t>
            </w:r>
          </w:p>
        </w:tc>
        <w:tc>
          <w:tcPr>
            <w:tcW w:w="4823" w:type="dxa"/>
            <w:tcBorders>
              <w:top w:val="single" w:color="auto" w:sz="4" w:space="0"/>
              <w:left w:val="nil"/>
              <w:bottom w:val="single" w:color="auto" w:sz="4" w:space="0"/>
              <w:right w:val="single" w:color="auto" w:sz="4" w:space="0"/>
            </w:tcBorders>
            <w:vAlign w:val="center"/>
          </w:tcPr>
          <w:p>
            <w:pPr>
              <w:rPr>
                <w:rFonts w:cs="Times New Roman" w:asciiTheme="majorEastAsia" w:hAnsiTheme="majorEastAsia" w:eastAsiaTheme="majorEastAsia"/>
              </w:rPr>
            </w:pPr>
            <w:r>
              <w:rPr>
                <w:rFonts w:hint="eastAsia" w:cs="Times New Roman" w:asciiTheme="majorEastAsia" w:hAnsiTheme="majorEastAsia" w:eastAsiaTheme="majorEastAsia"/>
              </w:rPr>
              <w:t>具有快速电击技术，启动AED模式到通电完成时间≤8秒</w:t>
            </w:r>
          </w:p>
        </w:tc>
        <w:tc>
          <w:tcPr>
            <w:tcW w:w="1528" w:type="dxa"/>
            <w:tcBorders>
              <w:top w:val="single" w:color="auto" w:sz="4" w:space="0"/>
              <w:left w:val="nil"/>
              <w:bottom w:val="single" w:color="auto" w:sz="4" w:space="0"/>
              <w:right w:val="single" w:color="auto" w:sz="8" w:space="0"/>
            </w:tcBorders>
            <w:vAlign w:val="center"/>
          </w:tcPr>
          <w:p>
            <w:pPr>
              <w:widowControl/>
              <w:spacing w:line="240" w:lineRule="auto"/>
              <w:rPr>
                <w:rFonts w:cs="Times New Roman" w:asciiTheme="majorEastAsia" w:hAnsiTheme="majorEastAsia" w:eastAsiaTheme="majorEastAsia"/>
                <w:kern w:val="0"/>
              </w:rPr>
            </w:pPr>
          </w:p>
        </w:tc>
      </w:tr>
      <w:tr>
        <w:tblPrEx>
          <w:tblCellMar>
            <w:top w:w="0" w:type="dxa"/>
            <w:left w:w="108" w:type="dxa"/>
            <w:bottom w:w="0" w:type="dxa"/>
            <w:right w:w="108" w:type="dxa"/>
          </w:tblCellMar>
        </w:tblPrEx>
        <w:trPr>
          <w:trHeight w:val="752" w:hRule="atLeast"/>
        </w:trPr>
        <w:tc>
          <w:tcPr>
            <w:tcW w:w="1111" w:type="dxa"/>
            <w:tcBorders>
              <w:top w:val="nil"/>
              <w:left w:val="single" w:color="auto" w:sz="8" w:space="0"/>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2.</w:t>
            </w:r>
            <w:r>
              <w:rPr>
                <w:rFonts w:hint="eastAsia" w:cs="Times New Roman" w:asciiTheme="majorEastAsia" w:hAnsiTheme="majorEastAsia" w:eastAsiaTheme="majorEastAsia"/>
                <w:kern w:val="0"/>
              </w:rPr>
              <w:t>12</w:t>
            </w:r>
          </w:p>
        </w:tc>
        <w:tc>
          <w:tcPr>
            <w:tcW w:w="1843" w:type="dxa"/>
            <w:tcBorders>
              <w:top w:val="nil"/>
              <w:left w:val="nil"/>
              <w:bottom w:val="single" w:color="auto" w:sz="4" w:space="0"/>
              <w:right w:val="single" w:color="auto" w:sz="4" w:space="0"/>
            </w:tcBorders>
            <w:vAlign w:val="center"/>
          </w:tcPr>
          <w:p>
            <w:pPr>
              <w:jc w:val="center"/>
              <w:rPr>
                <w:rFonts w:cs="Times New Roman" w:asciiTheme="majorEastAsia" w:hAnsiTheme="majorEastAsia" w:eastAsiaTheme="majorEastAsia"/>
              </w:rPr>
            </w:pPr>
            <w:r>
              <w:rPr>
                <w:rFonts w:cs="Times New Roman" w:asciiTheme="majorEastAsia" w:hAnsiTheme="majorEastAsia" w:eastAsiaTheme="majorEastAsia"/>
                <w:kern w:val="0"/>
              </w:rPr>
              <w:t>参数</w:t>
            </w:r>
            <w:r>
              <w:rPr>
                <w:rFonts w:hint="eastAsia" w:cs="Times New Roman" w:asciiTheme="majorEastAsia" w:hAnsiTheme="majorEastAsia" w:eastAsiaTheme="majorEastAsia"/>
                <w:kern w:val="0"/>
              </w:rPr>
              <w:t>12</w:t>
            </w:r>
          </w:p>
        </w:tc>
        <w:tc>
          <w:tcPr>
            <w:tcW w:w="4823" w:type="dxa"/>
            <w:tcBorders>
              <w:top w:val="nil"/>
              <w:left w:val="nil"/>
              <w:bottom w:val="single" w:color="auto" w:sz="4" w:space="0"/>
              <w:right w:val="single" w:color="auto" w:sz="4" w:space="0"/>
            </w:tcBorders>
            <w:vAlign w:val="center"/>
          </w:tcPr>
          <w:p>
            <w:pPr>
              <w:widowControl/>
              <w:spacing w:line="240" w:lineRule="auto"/>
              <w:rPr>
                <w:rFonts w:cs="Times New Roman" w:asciiTheme="majorEastAsia" w:hAnsiTheme="majorEastAsia" w:eastAsiaTheme="majorEastAsia"/>
              </w:rPr>
            </w:pPr>
            <w:r>
              <w:rPr>
                <w:rFonts w:hint="eastAsia" w:cs="Times New Roman" w:asciiTheme="majorEastAsia" w:hAnsiTheme="majorEastAsia" w:eastAsiaTheme="majorEastAsia"/>
              </w:rPr>
              <w:t>可进行持续心电监护，可识别≥9种常见的心率/心律失常报警，有心率快/心率慢、心搏停止、室颤/室速、室速、极度心动过速、室性早搏心率、起搏器未夺获、起搏器未起搏</w:t>
            </w:r>
          </w:p>
        </w:tc>
        <w:tc>
          <w:tcPr>
            <w:tcW w:w="1528" w:type="dxa"/>
            <w:tcBorders>
              <w:top w:val="nil"/>
              <w:left w:val="nil"/>
              <w:bottom w:val="single" w:color="auto" w:sz="4" w:space="0"/>
              <w:right w:val="single" w:color="auto" w:sz="8" w:space="0"/>
            </w:tcBorders>
            <w:vAlign w:val="center"/>
          </w:tcPr>
          <w:p>
            <w:pPr>
              <w:widowControl/>
              <w:spacing w:line="240" w:lineRule="auto"/>
              <w:rPr>
                <w:rFonts w:cs="Times New Roman" w:asciiTheme="majorEastAsia" w:hAnsiTheme="majorEastAsia" w:eastAsiaTheme="majorEastAsia"/>
                <w:kern w:val="0"/>
              </w:rPr>
            </w:pPr>
          </w:p>
        </w:tc>
      </w:tr>
      <w:tr>
        <w:tblPrEx>
          <w:tblCellMar>
            <w:top w:w="0" w:type="dxa"/>
            <w:left w:w="108" w:type="dxa"/>
            <w:bottom w:w="0" w:type="dxa"/>
            <w:right w:w="108" w:type="dxa"/>
          </w:tblCellMar>
        </w:tblPrEx>
        <w:trPr>
          <w:trHeight w:val="670" w:hRule="atLeast"/>
        </w:trPr>
        <w:tc>
          <w:tcPr>
            <w:tcW w:w="111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2.1</w:t>
            </w:r>
            <w:r>
              <w:rPr>
                <w:rFonts w:hint="eastAsia" w:cs="Times New Roman" w:asciiTheme="majorEastAsia" w:hAnsiTheme="majorEastAsia" w:eastAsiaTheme="majorEastAsia"/>
                <w:kern w:val="0"/>
              </w:rPr>
              <w:t>3</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参数1</w:t>
            </w:r>
            <w:r>
              <w:rPr>
                <w:rFonts w:hint="eastAsia" w:cs="Times New Roman" w:asciiTheme="majorEastAsia" w:hAnsiTheme="majorEastAsia" w:eastAsiaTheme="majorEastAsia"/>
                <w:kern w:val="0"/>
              </w:rPr>
              <w:t>3</w:t>
            </w:r>
          </w:p>
        </w:tc>
        <w:tc>
          <w:tcPr>
            <w:tcW w:w="4823" w:type="dxa"/>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cs="Times New Roman" w:asciiTheme="majorEastAsia" w:hAnsiTheme="majorEastAsia" w:eastAsiaTheme="majorEastAsia"/>
              </w:rPr>
            </w:pPr>
            <w:r>
              <w:rPr>
                <w:rFonts w:hint="eastAsia" w:cs="Times New Roman" w:asciiTheme="majorEastAsia" w:hAnsiTheme="majorEastAsia" w:eastAsiaTheme="majorEastAsia"/>
              </w:rPr>
              <w:t>除颤能量采用旋钮选择方式，而非按键选择能量，方便快捷节约抢救时间</w:t>
            </w:r>
          </w:p>
        </w:tc>
        <w:tc>
          <w:tcPr>
            <w:tcW w:w="1528"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kern w:val="0"/>
              </w:rPr>
            </w:pPr>
          </w:p>
        </w:tc>
      </w:tr>
      <w:tr>
        <w:tblPrEx>
          <w:tblCellMar>
            <w:top w:w="0" w:type="dxa"/>
            <w:left w:w="108" w:type="dxa"/>
            <w:bottom w:w="0" w:type="dxa"/>
            <w:right w:w="108" w:type="dxa"/>
          </w:tblCellMar>
        </w:tblPrEx>
        <w:trPr>
          <w:trHeight w:val="756" w:hRule="atLeast"/>
        </w:trPr>
        <w:tc>
          <w:tcPr>
            <w:tcW w:w="1111" w:type="dxa"/>
            <w:tcBorders>
              <w:top w:val="single" w:color="auto" w:sz="4" w:space="0"/>
              <w:left w:val="single" w:color="auto" w:sz="8" w:space="0"/>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2.1</w:t>
            </w:r>
            <w:r>
              <w:rPr>
                <w:rFonts w:hint="eastAsia" w:cs="Times New Roman" w:asciiTheme="majorEastAsia" w:hAnsiTheme="majorEastAsia" w:eastAsiaTheme="majorEastAsia"/>
                <w:kern w:val="0"/>
              </w:rPr>
              <w:t>4</w:t>
            </w:r>
          </w:p>
        </w:tc>
        <w:tc>
          <w:tcPr>
            <w:tcW w:w="1843" w:type="dxa"/>
            <w:tcBorders>
              <w:top w:val="single" w:color="auto" w:sz="4" w:space="0"/>
              <w:left w:val="nil"/>
              <w:bottom w:val="single" w:color="auto" w:sz="4" w:space="0"/>
              <w:right w:val="single" w:color="auto" w:sz="4" w:space="0"/>
            </w:tcBorders>
            <w:vAlign w:val="center"/>
          </w:tcPr>
          <w:p>
            <w:pPr>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参数1</w:t>
            </w:r>
            <w:r>
              <w:rPr>
                <w:rFonts w:hint="eastAsia" w:cs="Times New Roman" w:asciiTheme="majorEastAsia" w:hAnsiTheme="majorEastAsia" w:eastAsiaTheme="majorEastAsia"/>
                <w:kern w:val="0"/>
              </w:rPr>
              <w:t>4</w:t>
            </w:r>
          </w:p>
        </w:tc>
        <w:tc>
          <w:tcPr>
            <w:tcW w:w="4823" w:type="dxa"/>
            <w:tcBorders>
              <w:top w:val="single" w:color="auto" w:sz="4" w:space="0"/>
              <w:left w:val="nil"/>
              <w:bottom w:val="single" w:color="auto" w:sz="4" w:space="0"/>
              <w:right w:val="single" w:color="auto" w:sz="4" w:space="0"/>
            </w:tcBorders>
            <w:vAlign w:val="center"/>
          </w:tcPr>
          <w:p>
            <w:pPr>
              <w:widowControl/>
              <w:spacing w:line="240" w:lineRule="auto"/>
              <w:rPr>
                <w:rFonts w:cs="Times New Roman" w:asciiTheme="majorEastAsia" w:hAnsiTheme="majorEastAsia" w:eastAsiaTheme="majorEastAsia"/>
              </w:rPr>
            </w:pPr>
            <w:r>
              <w:rPr>
                <w:rFonts w:hint="eastAsia" w:cs="Times New Roman" w:asciiTheme="majorEastAsia" w:hAnsiTheme="majorEastAsia" w:eastAsiaTheme="majorEastAsia"/>
              </w:rPr>
              <w:t>具备生命体征趋势回顾功能</w:t>
            </w:r>
          </w:p>
        </w:tc>
        <w:tc>
          <w:tcPr>
            <w:tcW w:w="1528" w:type="dxa"/>
            <w:tcBorders>
              <w:top w:val="single" w:color="auto" w:sz="4" w:space="0"/>
              <w:left w:val="nil"/>
              <w:bottom w:val="single" w:color="auto" w:sz="4" w:space="0"/>
              <w:right w:val="single" w:color="auto" w:sz="8" w:space="0"/>
            </w:tcBorders>
            <w:vAlign w:val="center"/>
          </w:tcPr>
          <w:p>
            <w:pPr>
              <w:widowControl/>
              <w:spacing w:line="240" w:lineRule="auto"/>
              <w:jc w:val="center"/>
              <w:rPr>
                <w:rFonts w:cs="Times New Roman" w:asciiTheme="majorEastAsia" w:hAnsiTheme="majorEastAsia" w:eastAsiaTheme="majorEastAsia"/>
                <w:kern w:val="0"/>
              </w:rPr>
            </w:pPr>
          </w:p>
        </w:tc>
      </w:tr>
      <w:tr>
        <w:tblPrEx>
          <w:tblCellMar>
            <w:top w:w="0" w:type="dxa"/>
            <w:left w:w="108" w:type="dxa"/>
            <w:bottom w:w="0" w:type="dxa"/>
            <w:right w:w="108" w:type="dxa"/>
          </w:tblCellMar>
        </w:tblPrEx>
        <w:trPr>
          <w:trHeight w:val="860" w:hRule="atLeast"/>
        </w:trPr>
        <w:tc>
          <w:tcPr>
            <w:tcW w:w="1111" w:type="dxa"/>
            <w:tcBorders>
              <w:top w:val="nil"/>
              <w:left w:val="single" w:color="auto" w:sz="8" w:space="0"/>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b/>
                <w:kern w:val="0"/>
              </w:rPr>
            </w:pPr>
            <w:r>
              <w:rPr>
                <w:rFonts w:cs="Times New Roman" w:asciiTheme="majorEastAsia" w:hAnsiTheme="majorEastAsia" w:eastAsiaTheme="majorEastAsia"/>
                <w:b/>
                <w:kern w:val="0"/>
              </w:rPr>
              <w:t>3</w:t>
            </w:r>
          </w:p>
        </w:tc>
        <w:tc>
          <w:tcPr>
            <w:tcW w:w="1843" w:type="dxa"/>
            <w:tcBorders>
              <w:top w:val="nil"/>
              <w:left w:val="nil"/>
              <w:bottom w:val="single" w:color="auto" w:sz="4" w:space="0"/>
              <w:right w:val="single" w:color="auto" w:sz="4" w:space="0"/>
            </w:tcBorders>
            <w:vAlign w:val="center"/>
          </w:tcPr>
          <w:p>
            <w:pPr>
              <w:widowControl/>
              <w:spacing w:line="240" w:lineRule="auto"/>
              <w:ind w:firstLine="201" w:firstLineChars="100"/>
              <w:jc w:val="center"/>
              <w:rPr>
                <w:rFonts w:cs="Times New Roman" w:asciiTheme="majorEastAsia" w:hAnsiTheme="majorEastAsia" w:eastAsiaTheme="majorEastAsia"/>
                <w:b/>
                <w:bCs/>
                <w:kern w:val="0"/>
              </w:rPr>
            </w:pPr>
            <w:r>
              <w:rPr>
                <w:rFonts w:cs="Times New Roman" w:asciiTheme="majorEastAsia" w:hAnsiTheme="majorEastAsia" w:eastAsiaTheme="majorEastAsia"/>
                <w:b/>
                <w:bCs/>
                <w:kern w:val="0"/>
              </w:rPr>
              <w:t>配置需求</w:t>
            </w:r>
            <w:r>
              <w:rPr>
                <w:rFonts w:cs="Times New Roman" w:asciiTheme="majorEastAsia" w:hAnsiTheme="majorEastAsia" w:eastAsiaTheme="majorEastAsia"/>
                <w:b/>
                <w:bCs/>
                <w:kern w:val="0"/>
              </w:rPr>
              <w:br w:type="textWrapping"/>
            </w:r>
            <w:r>
              <w:rPr>
                <w:rFonts w:cs="Times New Roman" w:asciiTheme="majorEastAsia" w:hAnsiTheme="majorEastAsia" w:eastAsiaTheme="majorEastAsia"/>
                <w:b/>
                <w:bCs/>
                <w:kern w:val="0"/>
              </w:rPr>
              <w:t>（一行只写一个配置）</w:t>
            </w:r>
          </w:p>
        </w:tc>
        <w:tc>
          <w:tcPr>
            <w:tcW w:w="4823" w:type="dxa"/>
            <w:tcBorders>
              <w:top w:val="nil"/>
              <w:left w:val="nil"/>
              <w:bottom w:val="single" w:color="auto" w:sz="4" w:space="0"/>
              <w:right w:val="single" w:color="auto" w:sz="4" w:space="0"/>
            </w:tcBorders>
            <w:vAlign w:val="center"/>
          </w:tcPr>
          <w:p>
            <w:pPr>
              <w:widowControl/>
              <w:spacing w:line="240" w:lineRule="auto"/>
              <w:rPr>
                <w:rFonts w:cs="Times New Roman" w:asciiTheme="majorEastAsia" w:hAnsiTheme="majorEastAsia" w:eastAsiaTheme="majorEastAsia"/>
                <w:kern w:val="0"/>
              </w:rPr>
            </w:pPr>
          </w:p>
        </w:tc>
        <w:tc>
          <w:tcPr>
            <w:tcW w:w="1528" w:type="dxa"/>
            <w:tcBorders>
              <w:top w:val="nil"/>
              <w:left w:val="nil"/>
              <w:bottom w:val="single" w:color="auto" w:sz="4" w:space="0"/>
              <w:right w:val="single" w:color="auto" w:sz="8" w:space="0"/>
            </w:tcBorders>
            <w:vAlign w:val="center"/>
          </w:tcPr>
          <w:p>
            <w:pPr>
              <w:widowControl/>
              <w:spacing w:line="240" w:lineRule="auto"/>
              <w:jc w:val="center"/>
              <w:rPr>
                <w:rFonts w:cs="Times New Roman" w:asciiTheme="majorEastAsia" w:hAnsiTheme="majorEastAsia" w:eastAsiaTheme="majorEastAsia"/>
                <w:kern w:val="0"/>
              </w:rPr>
            </w:pPr>
          </w:p>
        </w:tc>
      </w:tr>
      <w:tr>
        <w:tblPrEx>
          <w:tblCellMar>
            <w:top w:w="0" w:type="dxa"/>
            <w:left w:w="108" w:type="dxa"/>
            <w:bottom w:w="0" w:type="dxa"/>
            <w:right w:w="108" w:type="dxa"/>
          </w:tblCellMar>
        </w:tblPrEx>
        <w:trPr>
          <w:trHeight w:val="623" w:hRule="atLeast"/>
        </w:trPr>
        <w:tc>
          <w:tcPr>
            <w:tcW w:w="1111" w:type="dxa"/>
            <w:tcBorders>
              <w:top w:val="single" w:color="auto" w:sz="4" w:space="0"/>
              <w:left w:val="single" w:color="auto" w:sz="8" w:space="0"/>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3.1</w:t>
            </w:r>
          </w:p>
        </w:tc>
        <w:tc>
          <w:tcPr>
            <w:tcW w:w="184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配置1</w:t>
            </w:r>
          </w:p>
        </w:tc>
        <w:tc>
          <w:tcPr>
            <w:tcW w:w="4823" w:type="dxa"/>
            <w:tcBorders>
              <w:top w:val="single" w:color="auto" w:sz="4" w:space="0"/>
              <w:left w:val="nil"/>
              <w:bottom w:val="single" w:color="auto" w:sz="4" w:space="0"/>
              <w:right w:val="single" w:color="auto" w:sz="4" w:space="0"/>
            </w:tcBorders>
            <w:vAlign w:val="center"/>
          </w:tcPr>
          <w:p>
            <w:pPr>
              <w:rPr>
                <w:rFonts w:cs="Times New Roman" w:asciiTheme="majorEastAsia" w:hAnsiTheme="majorEastAsia" w:eastAsiaTheme="majorEastAsia"/>
                <w:kern w:val="0"/>
              </w:rPr>
            </w:pPr>
            <w:r>
              <w:rPr>
                <w:rFonts w:hint="eastAsia" w:cs="Times New Roman" w:asciiTheme="majorEastAsia" w:hAnsiTheme="majorEastAsia" w:eastAsiaTheme="majorEastAsia"/>
                <w:kern w:val="0"/>
              </w:rPr>
              <w:t>体外除颤监护仪仪主机1台</w:t>
            </w:r>
          </w:p>
        </w:tc>
        <w:tc>
          <w:tcPr>
            <w:tcW w:w="1528" w:type="dxa"/>
            <w:tcBorders>
              <w:top w:val="single" w:color="auto" w:sz="4" w:space="0"/>
              <w:left w:val="nil"/>
              <w:bottom w:val="single" w:color="auto" w:sz="4" w:space="0"/>
              <w:right w:val="single" w:color="auto" w:sz="8" w:space="0"/>
            </w:tcBorders>
            <w:vAlign w:val="center"/>
          </w:tcPr>
          <w:p>
            <w:pPr>
              <w:widowControl/>
              <w:spacing w:line="240" w:lineRule="auto"/>
              <w:jc w:val="center"/>
              <w:rPr>
                <w:rFonts w:cs="Times New Roman" w:asciiTheme="majorEastAsia" w:hAnsiTheme="majorEastAsia" w:eastAsiaTheme="majorEastAsia"/>
                <w:kern w:val="0"/>
              </w:rPr>
            </w:pPr>
          </w:p>
        </w:tc>
      </w:tr>
      <w:tr>
        <w:tblPrEx>
          <w:tblCellMar>
            <w:top w:w="0" w:type="dxa"/>
            <w:left w:w="108" w:type="dxa"/>
            <w:bottom w:w="0" w:type="dxa"/>
            <w:right w:w="108" w:type="dxa"/>
          </w:tblCellMar>
        </w:tblPrEx>
        <w:trPr>
          <w:trHeight w:val="606" w:hRule="atLeast"/>
        </w:trPr>
        <w:tc>
          <w:tcPr>
            <w:tcW w:w="1111" w:type="dxa"/>
            <w:tcBorders>
              <w:top w:val="nil"/>
              <w:left w:val="single" w:color="auto" w:sz="8" w:space="0"/>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3.2</w:t>
            </w:r>
          </w:p>
        </w:tc>
        <w:tc>
          <w:tcPr>
            <w:tcW w:w="1843" w:type="dxa"/>
            <w:tcBorders>
              <w:top w:val="nil"/>
              <w:left w:val="nil"/>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配置2</w:t>
            </w:r>
          </w:p>
        </w:tc>
        <w:tc>
          <w:tcPr>
            <w:tcW w:w="4823" w:type="dxa"/>
            <w:tcBorders>
              <w:top w:val="nil"/>
              <w:left w:val="nil"/>
              <w:bottom w:val="single" w:color="auto" w:sz="4" w:space="0"/>
              <w:right w:val="single" w:color="auto" w:sz="4" w:space="0"/>
            </w:tcBorders>
            <w:vAlign w:val="center"/>
          </w:tcPr>
          <w:p>
            <w:pPr>
              <w:pStyle w:val="46"/>
              <w:spacing w:line="276" w:lineRule="auto"/>
              <w:ind w:firstLine="0" w:firstLineChars="0"/>
              <w:rPr>
                <w:rFonts w:asciiTheme="majorEastAsia" w:hAnsiTheme="majorEastAsia" w:eastAsiaTheme="majorEastAsia"/>
                <w:kern w:val="0"/>
                <w:sz w:val="24"/>
                <w:szCs w:val="24"/>
              </w:rPr>
            </w:pPr>
            <w:r>
              <w:rPr>
                <w:rFonts w:hint="eastAsia" w:asciiTheme="majorEastAsia" w:hAnsiTheme="majorEastAsia" w:eastAsiaTheme="majorEastAsia"/>
                <w:kern w:val="0"/>
                <w:sz w:val="24"/>
                <w:szCs w:val="24"/>
              </w:rPr>
              <w:t>成人/儿童一体除颤电极板1套</w:t>
            </w:r>
          </w:p>
        </w:tc>
        <w:tc>
          <w:tcPr>
            <w:tcW w:w="1528" w:type="dxa"/>
            <w:tcBorders>
              <w:top w:val="nil"/>
              <w:left w:val="nil"/>
              <w:bottom w:val="single" w:color="auto" w:sz="4" w:space="0"/>
              <w:right w:val="single" w:color="auto" w:sz="8" w:space="0"/>
            </w:tcBorders>
            <w:vAlign w:val="center"/>
          </w:tcPr>
          <w:p>
            <w:pPr>
              <w:widowControl/>
              <w:spacing w:line="240" w:lineRule="auto"/>
              <w:jc w:val="center"/>
              <w:rPr>
                <w:rFonts w:cs="Times New Roman" w:asciiTheme="majorEastAsia" w:hAnsiTheme="majorEastAsia" w:eastAsiaTheme="majorEastAsia"/>
                <w:kern w:val="0"/>
              </w:rPr>
            </w:pPr>
          </w:p>
        </w:tc>
      </w:tr>
      <w:tr>
        <w:tblPrEx>
          <w:tblCellMar>
            <w:top w:w="0" w:type="dxa"/>
            <w:left w:w="108" w:type="dxa"/>
            <w:bottom w:w="0" w:type="dxa"/>
            <w:right w:w="108" w:type="dxa"/>
          </w:tblCellMar>
        </w:tblPrEx>
        <w:trPr>
          <w:trHeight w:val="606" w:hRule="atLeast"/>
        </w:trPr>
        <w:tc>
          <w:tcPr>
            <w:tcW w:w="1111" w:type="dxa"/>
            <w:tcBorders>
              <w:top w:val="nil"/>
              <w:left w:val="single" w:color="auto" w:sz="8" w:space="0"/>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3.3</w:t>
            </w:r>
          </w:p>
        </w:tc>
        <w:tc>
          <w:tcPr>
            <w:tcW w:w="1843" w:type="dxa"/>
            <w:tcBorders>
              <w:top w:val="nil"/>
              <w:left w:val="nil"/>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配置3</w:t>
            </w:r>
          </w:p>
        </w:tc>
        <w:tc>
          <w:tcPr>
            <w:tcW w:w="4823" w:type="dxa"/>
            <w:tcBorders>
              <w:top w:val="nil"/>
              <w:left w:val="nil"/>
              <w:bottom w:val="single" w:color="auto" w:sz="4" w:space="0"/>
              <w:right w:val="single" w:color="auto" w:sz="4" w:space="0"/>
            </w:tcBorders>
            <w:vAlign w:val="center"/>
          </w:tcPr>
          <w:p>
            <w:pPr>
              <w:pStyle w:val="46"/>
              <w:spacing w:line="276" w:lineRule="auto"/>
              <w:ind w:firstLine="0" w:firstLineChars="0"/>
              <w:rPr>
                <w:rFonts w:asciiTheme="majorEastAsia" w:hAnsiTheme="majorEastAsia" w:eastAsiaTheme="majorEastAsia"/>
                <w:kern w:val="0"/>
                <w:sz w:val="24"/>
                <w:szCs w:val="24"/>
              </w:rPr>
            </w:pPr>
            <w:r>
              <w:rPr>
                <w:rFonts w:hint="eastAsia" w:asciiTheme="majorEastAsia" w:hAnsiTheme="majorEastAsia" w:eastAsiaTheme="majorEastAsia"/>
                <w:kern w:val="0"/>
                <w:sz w:val="24"/>
                <w:szCs w:val="24"/>
              </w:rPr>
              <w:t>3导心电电缆一根</w:t>
            </w:r>
          </w:p>
        </w:tc>
        <w:tc>
          <w:tcPr>
            <w:tcW w:w="1528" w:type="dxa"/>
            <w:tcBorders>
              <w:top w:val="nil"/>
              <w:left w:val="nil"/>
              <w:bottom w:val="single" w:color="auto" w:sz="4" w:space="0"/>
              <w:right w:val="single" w:color="auto" w:sz="8" w:space="0"/>
            </w:tcBorders>
            <w:vAlign w:val="center"/>
          </w:tcPr>
          <w:p>
            <w:pPr>
              <w:widowControl/>
              <w:spacing w:line="240" w:lineRule="auto"/>
              <w:jc w:val="center"/>
              <w:rPr>
                <w:rFonts w:cs="Times New Roman" w:asciiTheme="majorEastAsia" w:hAnsiTheme="majorEastAsia" w:eastAsiaTheme="majorEastAsia"/>
                <w:kern w:val="0"/>
              </w:rPr>
            </w:pPr>
          </w:p>
        </w:tc>
      </w:tr>
      <w:tr>
        <w:tblPrEx>
          <w:tblCellMar>
            <w:top w:w="0" w:type="dxa"/>
            <w:left w:w="108" w:type="dxa"/>
            <w:bottom w:w="0" w:type="dxa"/>
            <w:right w:w="108" w:type="dxa"/>
          </w:tblCellMar>
        </w:tblPrEx>
        <w:trPr>
          <w:trHeight w:val="606" w:hRule="atLeast"/>
        </w:trPr>
        <w:tc>
          <w:tcPr>
            <w:tcW w:w="1111" w:type="dxa"/>
            <w:tcBorders>
              <w:top w:val="single" w:color="auto" w:sz="4" w:space="0"/>
              <w:left w:val="single" w:color="auto" w:sz="8" w:space="0"/>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3.4</w:t>
            </w:r>
          </w:p>
        </w:tc>
        <w:tc>
          <w:tcPr>
            <w:tcW w:w="184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配置4</w:t>
            </w:r>
          </w:p>
        </w:tc>
        <w:tc>
          <w:tcPr>
            <w:tcW w:w="4823" w:type="dxa"/>
            <w:tcBorders>
              <w:top w:val="single" w:color="auto" w:sz="4" w:space="0"/>
              <w:left w:val="nil"/>
              <w:bottom w:val="single" w:color="auto" w:sz="4" w:space="0"/>
              <w:right w:val="single" w:color="auto" w:sz="4" w:space="0"/>
            </w:tcBorders>
            <w:vAlign w:val="center"/>
          </w:tcPr>
          <w:p>
            <w:pPr>
              <w:pStyle w:val="46"/>
              <w:spacing w:line="276" w:lineRule="auto"/>
              <w:ind w:firstLine="0" w:firstLineChars="0"/>
              <w:rPr>
                <w:rFonts w:asciiTheme="majorEastAsia" w:hAnsiTheme="majorEastAsia" w:eastAsiaTheme="majorEastAsia"/>
                <w:kern w:val="0"/>
                <w:sz w:val="24"/>
                <w:szCs w:val="24"/>
              </w:rPr>
            </w:pPr>
            <w:r>
              <w:rPr>
                <w:rFonts w:hint="eastAsia" w:asciiTheme="majorEastAsia" w:hAnsiTheme="majorEastAsia" w:eastAsiaTheme="majorEastAsia"/>
                <w:kern w:val="0"/>
                <w:sz w:val="24"/>
                <w:szCs w:val="24"/>
              </w:rPr>
              <w:t>3导心电导联线1根</w:t>
            </w:r>
          </w:p>
        </w:tc>
        <w:tc>
          <w:tcPr>
            <w:tcW w:w="1528" w:type="dxa"/>
            <w:tcBorders>
              <w:top w:val="single" w:color="auto" w:sz="4" w:space="0"/>
              <w:left w:val="nil"/>
              <w:bottom w:val="single" w:color="auto" w:sz="4" w:space="0"/>
              <w:right w:val="single" w:color="auto" w:sz="8" w:space="0"/>
            </w:tcBorders>
            <w:vAlign w:val="center"/>
          </w:tcPr>
          <w:p>
            <w:pPr>
              <w:widowControl/>
              <w:spacing w:line="240" w:lineRule="auto"/>
              <w:jc w:val="center"/>
              <w:rPr>
                <w:rFonts w:cs="Times New Roman" w:asciiTheme="majorEastAsia" w:hAnsiTheme="majorEastAsia" w:eastAsiaTheme="majorEastAsia"/>
                <w:kern w:val="0"/>
              </w:rPr>
            </w:pPr>
          </w:p>
        </w:tc>
      </w:tr>
      <w:tr>
        <w:tblPrEx>
          <w:tblCellMar>
            <w:top w:w="0" w:type="dxa"/>
            <w:left w:w="108" w:type="dxa"/>
            <w:bottom w:w="0" w:type="dxa"/>
            <w:right w:w="108" w:type="dxa"/>
          </w:tblCellMar>
        </w:tblPrEx>
        <w:trPr>
          <w:trHeight w:val="606" w:hRule="atLeast"/>
        </w:trPr>
        <w:tc>
          <w:tcPr>
            <w:tcW w:w="1111" w:type="dxa"/>
            <w:tcBorders>
              <w:top w:val="single" w:color="auto" w:sz="4" w:space="0"/>
              <w:left w:val="single" w:color="auto" w:sz="8" w:space="0"/>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3.</w:t>
            </w:r>
            <w:r>
              <w:rPr>
                <w:rFonts w:hint="eastAsia" w:cs="Times New Roman" w:asciiTheme="majorEastAsia" w:hAnsiTheme="majorEastAsia" w:eastAsiaTheme="majorEastAsia"/>
                <w:kern w:val="0"/>
              </w:rPr>
              <w:t>5</w:t>
            </w:r>
          </w:p>
        </w:tc>
        <w:tc>
          <w:tcPr>
            <w:tcW w:w="184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配置</w:t>
            </w:r>
            <w:r>
              <w:rPr>
                <w:rFonts w:hint="eastAsia" w:cs="Times New Roman" w:asciiTheme="majorEastAsia" w:hAnsiTheme="majorEastAsia" w:eastAsiaTheme="majorEastAsia"/>
                <w:kern w:val="0"/>
              </w:rPr>
              <w:t>5</w:t>
            </w:r>
          </w:p>
        </w:tc>
        <w:tc>
          <w:tcPr>
            <w:tcW w:w="4823" w:type="dxa"/>
            <w:tcBorders>
              <w:top w:val="single" w:color="auto" w:sz="4" w:space="0"/>
              <w:left w:val="nil"/>
              <w:bottom w:val="single" w:color="auto" w:sz="4" w:space="0"/>
              <w:right w:val="single" w:color="auto" w:sz="4" w:space="0"/>
            </w:tcBorders>
            <w:vAlign w:val="center"/>
          </w:tcPr>
          <w:p>
            <w:pPr>
              <w:pStyle w:val="46"/>
              <w:spacing w:line="276" w:lineRule="auto"/>
              <w:ind w:firstLine="0" w:firstLineChars="0"/>
              <w:rPr>
                <w:rFonts w:asciiTheme="majorEastAsia" w:hAnsiTheme="majorEastAsia" w:eastAsiaTheme="majorEastAsia"/>
                <w:kern w:val="0"/>
                <w:sz w:val="24"/>
                <w:szCs w:val="24"/>
              </w:rPr>
            </w:pPr>
            <w:r>
              <w:rPr>
                <w:rFonts w:hint="eastAsia" w:asciiTheme="majorEastAsia" w:hAnsiTheme="majorEastAsia" w:eastAsiaTheme="majorEastAsia"/>
                <w:kern w:val="0"/>
                <w:sz w:val="24"/>
                <w:szCs w:val="24"/>
              </w:rPr>
              <w:t>AED除颤电极适配器1个</w:t>
            </w:r>
          </w:p>
        </w:tc>
        <w:tc>
          <w:tcPr>
            <w:tcW w:w="1528" w:type="dxa"/>
            <w:tcBorders>
              <w:top w:val="single" w:color="auto" w:sz="4" w:space="0"/>
              <w:left w:val="nil"/>
              <w:bottom w:val="single" w:color="auto" w:sz="4" w:space="0"/>
              <w:right w:val="single" w:color="auto" w:sz="8" w:space="0"/>
            </w:tcBorders>
            <w:vAlign w:val="center"/>
          </w:tcPr>
          <w:p>
            <w:pPr>
              <w:widowControl/>
              <w:spacing w:line="240" w:lineRule="auto"/>
              <w:jc w:val="center"/>
              <w:rPr>
                <w:rFonts w:cs="Times New Roman" w:asciiTheme="majorEastAsia" w:hAnsiTheme="majorEastAsia" w:eastAsiaTheme="majorEastAsia"/>
                <w:kern w:val="0"/>
              </w:rPr>
            </w:pPr>
          </w:p>
        </w:tc>
      </w:tr>
      <w:tr>
        <w:tblPrEx>
          <w:tblCellMar>
            <w:top w:w="0" w:type="dxa"/>
            <w:left w:w="108" w:type="dxa"/>
            <w:bottom w:w="0" w:type="dxa"/>
            <w:right w:w="108" w:type="dxa"/>
          </w:tblCellMar>
        </w:tblPrEx>
        <w:trPr>
          <w:trHeight w:val="606" w:hRule="atLeast"/>
        </w:trPr>
        <w:tc>
          <w:tcPr>
            <w:tcW w:w="1111" w:type="dxa"/>
            <w:tcBorders>
              <w:top w:val="single" w:color="auto" w:sz="4" w:space="0"/>
              <w:left w:val="single" w:color="auto" w:sz="8" w:space="0"/>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3.</w:t>
            </w:r>
            <w:r>
              <w:rPr>
                <w:rFonts w:hint="eastAsia" w:cs="Times New Roman" w:asciiTheme="majorEastAsia" w:hAnsiTheme="majorEastAsia" w:eastAsiaTheme="majorEastAsia"/>
                <w:kern w:val="0"/>
              </w:rPr>
              <w:t>6</w:t>
            </w:r>
          </w:p>
        </w:tc>
        <w:tc>
          <w:tcPr>
            <w:tcW w:w="184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配置</w:t>
            </w:r>
            <w:r>
              <w:rPr>
                <w:rFonts w:hint="eastAsia" w:cs="Times New Roman" w:asciiTheme="majorEastAsia" w:hAnsiTheme="majorEastAsia" w:eastAsiaTheme="majorEastAsia"/>
                <w:kern w:val="0"/>
              </w:rPr>
              <w:t>6</w:t>
            </w:r>
          </w:p>
        </w:tc>
        <w:tc>
          <w:tcPr>
            <w:tcW w:w="4823" w:type="dxa"/>
            <w:tcBorders>
              <w:top w:val="single" w:color="auto" w:sz="4" w:space="0"/>
              <w:left w:val="nil"/>
              <w:bottom w:val="single" w:color="auto" w:sz="4" w:space="0"/>
              <w:right w:val="single" w:color="auto" w:sz="4" w:space="0"/>
            </w:tcBorders>
            <w:vAlign w:val="center"/>
          </w:tcPr>
          <w:p>
            <w:pPr>
              <w:pStyle w:val="46"/>
              <w:spacing w:line="276" w:lineRule="auto"/>
              <w:ind w:firstLine="0" w:firstLineChars="0"/>
              <w:rPr>
                <w:rFonts w:asciiTheme="majorEastAsia" w:hAnsiTheme="majorEastAsia" w:eastAsiaTheme="majorEastAsia"/>
                <w:kern w:val="0"/>
                <w:sz w:val="24"/>
                <w:szCs w:val="24"/>
              </w:rPr>
            </w:pPr>
            <w:r>
              <w:rPr>
                <w:rFonts w:hint="eastAsia" w:asciiTheme="majorEastAsia" w:hAnsiTheme="majorEastAsia" w:eastAsiaTheme="majorEastAsia"/>
                <w:kern w:val="0"/>
                <w:sz w:val="24"/>
                <w:szCs w:val="24"/>
              </w:rPr>
              <w:t>锂电池1块</w:t>
            </w:r>
          </w:p>
        </w:tc>
        <w:tc>
          <w:tcPr>
            <w:tcW w:w="1528" w:type="dxa"/>
            <w:tcBorders>
              <w:top w:val="single" w:color="auto" w:sz="4" w:space="0"/>
              <w:left w:val="nil"/>
              <w:bottom w:val="single" w:color="auto" w:sz="4" w:space="0"/>
              <w:right w:val="single" w:color="auto" w:sz="8" w:space="0"/>
            </w:tcBorders>
            <w:vAlign w:val="center"/>
          </w:tcPr>
          <w:p>
            <w:pPr>
              <w:widowControl/>
              <w:spacing w:line="240" w:lineRule="auto"/>
              <w:jc w:val="center"/>
              <w:rPr>
                <w:rFonts w:cs="Times New Roman" w:asciiTheme="majorEastAsia" w:hAnsiTheme="majorEastAsia" w:eastAsiaTheme="majorEastAsia"/>
                <w:kern w:val="0"/>
              </w:rPr>
            </w:pPr>
          </w:p>
        </w:tc>
      </w:tr>
      <w:tr>
        <w:tblPrEx>
          <w:tblCellMar>
            <w:top w:w="0" w:type="dxa"/>
            <w:left w:w="108" w:type="dxa"/>
            <w:bottom w:w="0" w:type="dxa"/>
            <w:right w:w="108" w:type="dxa"/>
          </w:tblCellMar>
        </w:tblPrEx>
        <w:trPr>
          <w:trHeight w:val="606" w:hRule="atLeast"/>
        </w:trPr>
        <w:tc>
          <w:tcPr>
            <w:tcW w:w="1111" w:type="dxa"/>
            <w:tcBorders>
              <w:top w:val="single" w:color="auto" w:sz="4" w:space="0"/>
              <w:left w:val="single" w:color="auto" w:sz="8" w:space="0"/>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3.</w:t>
            </w:r>
            <w:r>
              <w:rPr>
                <w:rFonts w:hint="eastAsia" w:cs="Times New Roman" w:asciiTheme="majorEastAsia" w:hAnsiTheme="majorEastAsia" w:eastAsiaTheme="majorEastAsia"/>
                <w:kern w:val="0"/>
              </w:rPr>
              <w:t>7</w:t>
            </w:r>
          </w:p>
        </w:tc>
        <w:tc>
          <w:tcPr>
            <w:tcW w:w="184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配置</w:t>
            </w:r>
            <w:r>
              <w:rPr>
                <w:rFonts w:hint="eastAsia" w:cs="Times New Roman" w:asciiTheme="majorEastAsia" w:hAnsiTheme="majorEastAsia" w:eastAsiaTheme="majorEastAsia"/>
                <w:kern w:val="0"/>
              </w:rPr>
              <w:t>7</w:t>
            </w:r>
          </w:p>
        </w:tc>
        <w:tc>
          <w:tcPr>
            <w:tcW w:w="4823" w:type="dxa"/>
            <w:tcBorders>
              <w:top w:val="single" w:color="auto" w:sz="4" w:space="0"/>
              <w:left w:val="nil"/>
              <w:bottom w:val="single" w:color="auto" w:sz="4" w:space="0"/>
              <w:right w:val="single" w:color="auto" w:sz="4" w:space="0"/>
            </w:tcBorders>
            <w:vAlign w:val="center"/>
          </w:tcPr>
          <w:p>
            <w:pPr>
              <w:pStyle w:val="46"/>
              <w:spacing w:line="276" w:lineRule="auto"/>
              <w:ind w:firstLine="0" w:firstLineChars="0"/>
              <w:rPr>
                <w:rFonts w:asciiTheme="majorEastAsia" w:hAnsiTheme="majorEastAsia" w:eastAsiaTheme="majorEastAsia"/>
                <w:kern w:val="0"/>
                <w:sz w:val="24"/>
                <w:szCs w:val="24"/>
              </w:rPr>
            </w:pPr>
            <w:r>
              <w:rPr>
                <w:rFonts w:hint="eastAsia" w:asciiTheme="majorEastAsia" w:hAnsiTheme="majorEastAsia" w:eastAsiaTheme="majorEastAsia"/>
                <w:kern w:val="0"/>
                <w:sz w:val="24"/>
                <w:szCs w:val="24"/>
              </w:rPr>
              <w:t>热敏打印纸1卷</w:t>
            </w:r>
          </w:p>
        </w:tc>
        <w:tc>
          <w:tcPr>
            <w:tcW w:w="1528" w:type="dxa"/>
            <w:tcBorders>
              <w:top w:val="single" w:color="auto" w:sz="4" w:space="0"/>
              <w:left w:val="nil"/>
              <w:bottom w:val="single" w:color="auto" w:sz="4" w:space="0"/>
              <w:right w:val="single" w:color="auto" w:sz="8" w:space="0"/>
            </w:tcBorders>
            <w:vAlign w:val="center"/>
          </w:tcPr>
          <w:p>
            <w:pPr>
              <w:widowControl/>
              <w:spacing w:line="240" w:lineRule="auto"/>
              <w:jc w:val="center"/>
              <w:rPr>
                <w:rFonts w:cs="Times New Roman" w:asciiTheme="majorEastAsia" w:hAnsiTheme="majorEastAsia" w:eastAsiaTheme="majorEastAsia"/>
                <w:kern w:val="0"/>
              </w:rPr>
            </w:pPr>
          </w:p>
        </w:tc>
      </w:tr>
      <w:tr>
        <w:tblPrEx>
          <w:tblCellMar>
            <w:top w:w="0" w:type="dxa"/>
            <w:left w:w="108" w:type="dxa"/>
            <w:bottom w:w="0" w:type="dxa"/>
            <w:right w:w="108" w:type="dxa"/>
          </w:tblCellMar>
        </w:tblPrEx>
        <w:trPr>
          <w:trHeight w:val="575" w:hRule="atLeast"/>
        </w:trPr>
        <w:tc>
          <w:tcPr>
            <w:tcW w:w="111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b/>
                <w:bCs/>
                <w:kern w:val="0"/>
              </w:rPr>
            </w:pPr>
            <w:r>
              <w:rPr>
                <w:rFonts w:cs="Times New Roman" w:asciiTheme="majorEastAsia" w:hAnsiTheme="majorEastAsia" w:eastAsiaTheme="majorEastAsia"/>
                <w:b/>
                <w:bCs/>
                <w:kern w:val="0"/>
              </w:rPr>
              <w:t>4</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b/>
                <w:bCs/>
                <w:kern w:val="0"/>
              </w:rPr>
            </w:pPr>
            <w:r>
              <w:rPr>
                <w:rFonts w:cs="Times New Roman" w:asciiTheme="majorEastAsia" w:hAnsiTheme="majorEastAsia" w:eastAsiaTheme="majorEastAsia"/>
                <w:b/>
                <w:bCs/>
                <w:kern w:val="0"/>
              </w:rPr>
              <w:t>售后服务</w:t>
            </w:r>
          </w:p>
        </w:tc>
        <w:tc>
          <w:tcPr>
            <w:tcW w:w="4823" w:type="dxa"/>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cs="Times New Roman" w:asciiTheme="majorEastAsia" w:hAnsiTheme="majorEastAsia" w:eastAsiaTheme="majorEastAsia"/>
                <w:b/>
                <w:bCs/>
                <w:kern w:val="0"/>
              </w:rPr>
            </w:pPr>
          </w:p>
        </w:tc>
        <w:tc>
          <w:tcPr>
            <w:tcW w:w="1528"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b/>
                <w:bCs/>
                <w:kern w:val="0"/>
              </w:rPr>
            </w:pPr>
          </w:p>
        </w:tc>
      </w:tr>
      <w:tr>
        <w:tblPrEx>
          <w:tblCellMar>
            <w:top w:w="0" w:type="dxa"/>
            <w:left w:w="108" w:type="dxa"/>
            <w:bottom w:w="0" w:type="dxa"/>
            <w:right w:w="108" w:type="dxa"/>
          </w:tblCellMar>
        </w:tblPrEx>
        <w:trPr>
          <w:trHeight w:val="692" w:hRule="atLeast"/>
        </w:trPr>
        <w:tc>
          <w:tcPr>
            <w:tcW w:w="1111" w:type="dxa"/>
            <w:tcBorders>
              <w:top w:val="single" w:color="auto" w:sz="4" w:space="0"/>
              <w:left w:val="single" w:color="auto" w:sz="8" w:space="0"/>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4.1</w:t>
            </w:r>
          </w:p>
        </w:tc>
        <w:tc>
          <w:tcPr>
            <w:tcW w:w="184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保修年限</w:t>
            </w:r>
          </w:p>
        </w:tc>
        <w:tc>
          <w:tcPr>
            <w:tcW w:w="482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≥3年</w:t>
            </w:r>
          </w:p>
        </w:tc>
        <w:tc>
          <w:tcPr>
            <w:tcW w:w="1528" w:type="dxa"/>
            <w:tcBorders>
              <w:top w:val="single" w:color="auto" w:sz="4" w:space="0"/>
              <w:left w:val="nil"/>
              <w:bottom w:val="single" w:color="auto" w:sz="4" w:space="0"/>
              <w:right w:val="single" w:color="auto" w:sz="8" w:space="0"/>
            </w:tcBorders>
            <w:vAlign w:val="center"/>
          </w:tcPr>
          <w:p>
            <w:pPr>
              <w:widowControl/>
              <w:spacing w:line="240" w:lineRule="auto"/>
              <w:jc w:val="center"/>
              <w:rPr>
                <w:rFonts w:cs="Times New Roman" w:asciiTheme="majorEastAsia" w:hAnsiTheme="majorEastAsia" w:eastAsiaTheme="majorEastAsia"/>
                <w:kern w:val="0"/>
              </w:rPr>
            </w:pPr>
          </w:p>
        </w:tc>
      </w:tr>
      <w:tr>
        <w:tblPrEx>
          <w:tblCellMar>
            <w:top w:w="0" w:type="dxa"/>
            <w:left w:w="108" w:type="dxa"/>
            <w:bottom w:w="0" w:type="dxa"/>
            <w:right w:w="108" w:type="dxa"/>
          </w:tblCellMar>
        </w:tblPrEx>
        <w:trPr>
          <w:trHeight w:val="877" w:hRule="atLeast"/>
        </w:trPr>
        <w:tc>
          <w:tcPr>
            <w:tcW w:w="1111" w:type="dxa"/>
            <w:tcBorders>
              <w:top w:val="nil"/>
              <w:left w:val="single" w:color="auto" w:sz="8" w:space="0"/>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4.2</w:t>
            </w:r>
          </w:p>
        </w:tc>
        <w:tc>
          <w:tcPr>
            <w:tcW w:w="1843" w:type="dxa"/>
            <w:tcBorders>
              <w:top w:val="nil"/>
              <w:left w:val="nil"/>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出现故障回应时间</w:t>
            </w:r>
          </w:p>
        </w:tc>
        <w:tc>
          <w:tcPr>
            <w:tcW w:w="4823" w:type="dxa"/>
            <w:tcBorders>
              <w:top w:val="nil"/>
              <w:left w:val="nil"/>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维修到达现场时间≤ 6小时（本地）</w:t>
            </w:r>
            <w:r>
              <w:rPr>
                <w:rFonts w:cs="Times New Roman" w:asciiTheme="majorEastAsia" w:hAnsiTheme="majorEastAsia" w:eastAsiaTheme="majorEastAsia"/>
                <w:kern w:val="0"/>
              </w:rPr>
              <w:br w:type="textWrapping"/>
            </w:r>
            <w:r>
              <w:rPr>
                <w:rFonts w:cs="Times New Roman" w:asciiTheme="majorEastAsia" w:hAnsiTheme="majorEastAsia" w:eastAsiaTheme="majorEastAsia"/>
                <w:kern w:val="0"/>
              </w:rPr>
              <w:t>维修到达现场时间≤24小时（外地）</w:t>
            </w:r>
          </w:p>
        </w:tc>
        <w:tc>
          <w:tcPr>
            <w:tcW w:w="1528" w:type="dxa"/>
            <w:tcBorders>
              <w:top w:val="nil"/>
              <w:left w:val="nil"/>
              <w:bottom w:val="single" w:color="auto" w:sz="4" w:space="0"/>
              <w:right w:val="single" w:color="auto" w:sz="8" w:space="0"/>
            </w:tcBorders>
            <w:vAlign w:val="center"/>
          </w:tcPr>
          <w:p>
            <w:pPr>
              <w:widowControl/>
              <w:spacing w:line="240" w:lineRule="auto"/>
              <w:jc w:val="center"/>
              <w:rPr>
                <w:rFonts w:cs="Times New Roman" w:asciiTheme="majorEastAsia" w:hAnsiTheme="majorEastAsia" w:eastAsiaTheme="majorEastAsia"/>
                <w:kern w:val="0"/>
              </w:rPr>
            </w:pPr>
          </w:p>
        </w:tc>
      </w:tr>
      <w:tr>
        <w:tblPrEx>
          <w:tblCellMar>
            <w:top w:w="0" w:type="dxa"/>
            <w:left w:w="108" w:type="dxa"/>
            <w:bottom w:w="0" w:type="dxa"/>
            <w:right w:w="108" w:type="dxa"/>
          </w:tblCellMar>
        </w:tblPrEx>
        <w:trPr>
          <w:trHeight w:val="630" w:hRule="atLeast"/>
        </w:trPr>
        <w:tc>
          <w:tcPr>
            <w:tcW w:w="1111" w:type="dxa"/>
            <w:tcBorders>
              <w:top w:val="single" w:color="auto" w:sz="4" w:space="0"/>
              <w:left w:val="single" w:color="auto" w:sz="8" w:space="0"/>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4.3</w:t>
            </w:r>
          </w:p>
        </w:tc>
        <w:tc>
          <w:tcPr>
            <w:tcW w:w="184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维修支持</w:t>
            </w:r>
          </w:p>
        </w:tc>
        <w:tc>
          <w:tcPr>
            <w:tcW w:w="482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配件供应时间≥10年</w:t>
            </w:r>
          </w:p>
        </w:tc>
        <w:tc>
          <w:tcPr>
            <w:tcW w:w="1528" w:type="dxa"/>
            <w:tcBorders>
              <w:top w:val="single" w:color="auto" w:sz="4" w:space="0"/>
              <w:left w:val="nil"/>
              <w:bottom w:val="single" w:color="auto" w:sz="4" w:space="0"/>
              <w:right w:val="single" w:color="auto" w:sz="8" w:space="0"/>
            </w:tcBorders>
            <w:vAlign w:val="center"/>
          </w:tcPr>
          <w:p>
            <w:pPr>
              <w:widowControl/>
              <w:spacing w:line="240" w:lineRule="auto"/>
              <w:jc w:val="center"/>
              <w:rPr>
                <w:rFonts w:cs="Times New Roman" w:asciiTheme="majorEastAsia" w:hAnsiTheme="majorEastAsia" w:eastAsiaTheme="majorEastAsia"/>
                <w:kern w:val="0"/>
              </w:rPr>
            </w:pPr>
          </w:p>
        </w:tc>
      </w:tr>
      <w:tr>
        <w:tblPrEx>
          <w:tblCellMar>
            <w:top w:w="0" w:type="dxa"/>
            <w:left w:w="108" w:type="dxa"/>
            <w:bottom w:w="0" w:type="dxa"/>
            <w:right w:w="108" w:type="dxa"/>
          </w:tblCellMar>
        </w:tblPrEx>
        <w:trPr>
          <w:trHeight w:val="630" w:hRule="atLeast"/>
        </w:trPr>
        <w:tc>
          <w:tcPr>
            <w:tcW w:w="1111" w:type="dxa"/>
            <w:tcBorders>
              <w:top w:val="nil"/>
              <w:left w:val="single" w:color="auto" w:sz="8" w:space="0"/>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4.4</w:t>
            </w:r>
          </w:p>
        </w:tc>
        <w:tc>
          <w:tcPr>
            <w:tcW w:w="1843" w:type="dxa"/>
            <w:tcBorders>
              <w:top w:val="nil"/>
              <w:left w:val="nil"/>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耗材及零配件</w:t>
            </w:r>
          </w:p>
        </w:tc>
        <w:tc>
          <w:tcPr>
            <w:tcW w:w="4823" w:type="dxa"/>
            <w:tcBorders>
              <w:top w:val="nil"/>
              <w:left w:val="nil"/>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提供耗材及主要零配件目录（含报价）</w:t>
            </w:r>
          </w:p>
        </w:tc>
        <w:tc>
          <w:tcPr>
            <w:tcW w:w="1528" w:type="dxa"/>
            <w:tcBorders>
              <w:top w:val="nil"/>
              <w:left w:val="nil"/>
              <w:bottom w:val="single" w:color="auto" w:sz="4" w:space="0"/>
              <w:right w:val="single" w:color="auto" w:sz="8" w:space="0"/>
            </w:tcBorders>
            <w:vAlign w:val="center"/>
          </w:tcPr>
          <w:p>
            <w:pPr>
              <w:widowControl/>
              <w:spacing w:line="240" w:lineRule="auto"/>
              <w:jc w:val="center"/>
              <w:rPr>
                <w:rFonts w:cs="Times New Roman" w:asciiTheme="majorEastAsia" w:hAnsiTheme="majorEastAsia" w:eastAsiaTheme="majorEastAsia"/>
                <w:kern w:val="0"/>
              </w:rPr>
            </w:pPr>
          </w:p>
        </w:tc>
      </w:tr>
      <w:tr>
        <w:tblPrEx>
          <w:tblCellMar>
            <w:top w:w="0" w:type="dxa"/>
            <w:left w:w="108" w:type="dxa"/>
            <w:bottom w:w="0" w:type="dxa"/>
            <w:right w:w="108" w:type="dxa"/>
          </w:tblCellMar>
        </w:tblPrEx>
        <w:trPr>
          <w:trHeight w:val="630" w:hRule="atLeast"/>
        </w:trPr>
        <w:tc>
          <w:tcPr>
            <w:tcW w:w="111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4.5</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维修资料</w:t>
            </w:r>
          </w:p>
        </w:tc>
        <w:tc>
          <w:tcPr>
            <w:tcW w:w="482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提供详细操作手册、维修保养手册、安装手册等</w:t>
            </w:r>
          </w:p>
        </w:tc>
        <w:tc>
          <w:tcPr>
            <w:tcW w:w="1528"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kern w:val="0"/>
              </w:rPr>
            </w:pPr>
          </w:p>
        </w:tc>
      </w:tr>
      <w:tr>
        <w:tblPrEx>
          <w:tblCellMar>
            <w:top w:w="0" w:type="dxa"/>
            <w:left w:w="108" w:type="dxa"/>
            <w:bottom w:w="0" w:type="dxa"/>
            <w:right w:w="108" w:type="dxa"/>
          </w:tblCellMar>
        </w:tblPrEx>
        <w:trPr>
          <w:trHeight w:val="630" w:hRule="atLeast"/>
        </w:trPr>
        <w:tc>
          <w:tcPr>
            <w:tcW w:w="1111" w:type="dxa"/>
            <w:tcBorders>
              <w:top w:val="single" w:color="auto" w:sz="4" w:space="0"/>
              <w:left w:val="single" w:color="auto" w:sz="8" w:space="0"/>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4.6</w:t>
            </w:r>
          </w:p>
        </w:tc>
        <w:tc>
          <w:tcPr>
            <w:tcW w:w="184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维修工具</w:t>
            </w:r>
          </w:p>
        </w:tc>
        <w:tc>
          <w:tcPr>
            <w:tcW w:w="482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提供维修专用工具1套</w:t>
            </w:r>
          </w:p>
        </w:tc>
        <w:tc>
          <w:tcPr>
            <w:tcW w:w="1528" w:type="dxa"/>
            <w:tcBorders>
              <w:top w:val="single" w:color="auto" w:sz="4" w:space="0"/>
              <w:left w:val="nil"/>
              <w:bottom w:val="single" w:color="auto" w:sz="4" w:space="0"/>
              <w:right w:val="single" w:color="auto" w:sz="8" w:space="0"/>
            </w:tcBorders>
            <w:vAlign w:val="center"/>
          </w:tcPr>
          <w:p>
            <w:pPr>
              <w:widowControl/>
              <w:spacing w:line="240" w:lineRule="auto"/>
              <w:jc w:val="center"/>
              <w:rPr>
                <w:rFonts w:cs="Times New Roman" w:asciiTheme="majorEastAsia" w:hAnsiTheme="majorEastAsia" w:eastAsiaTheme="majorEastAsia"/>
                <w:kern w:val="0"/>
              </w:rPr>
            </w:pPr>
          </w:p>
        </w:tc>
      </w:tr>
      <w:tr>
        <w:tblPrEx>
          <w:tblCellMar>
            <w:top w:w="0" w:type="dxa"/>
            <w:left w:w="108" w:type="dxa"/>
            <w:bottom w:w="0" w:type="dxa"/>
            <w:right w:w="108" w:type="dxa"/>
          </w:tblCellMar>
        </w:tblPrEx>
        <w:trPr>
          <w:trHeight w:val="630" w:hRule="atLeast"/>
        </w:trPr>
        <w:tc>
          <w:tcPr>
            <w:tcW w:w="1111" w:type="dxa"/>
            <w:tcBorders>
              <w:top w:val="nil"/>
              <w:left w:val="single" w:color="auto" w:sz="8" w:space="0"/>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4.7</w:t>
            </w:r>
          </w:p>
        </w:tc>
        <w:tc>
          <w:tcPr>
            <w:tcW w:w="1843" w:type="dxa"/>
            <w:tcBorders>
              <w:top w:val="nil"/>
              <w:left w:val="nil"/>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预防性维修</w:t>
            </w:r>
            <w:r>
              <w:rPr>
                <w:rFonts w:cs="Times New Roman" w:asciiTheme="majorEastAsia" w:hAnsiTheme="majorEastAsia" w:eastAsiaTheme="majorEastAsia"/>
                <w:kern w:val="0"/>
              </w:rPr>
              <w:br w:type="textWrapping"/>
            </w:r>
            <w:r>
              <w:rPr>
                <w:rFonts w:cs="Times New Roman" w:asciiTheme="majorEastAsia" w:hAnsiTheme="majorEastAsia" w:eastAsiaTheme="majorEastAsia"/>
                <w:kern w:val="0"/>
              </w:rPr>
              <w:t>/定期维护保养</w:t>
            </w:r>
          </w:p>
        </w:tc>
        <w:tc>
          <w:tcPr>
            <w:tcW w:w="4823" w:type="dxa"/>
            <w:tcBorders>
              <w:top w:val="nil"/>
              <w:left w:val="nil"/>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保修期内提供定期维护保养服务</w:t>
            </w:r>
          </w:p>
        </w:tc>
        <w:tc>
          <w:tcPr>
            <w:tcW w:w="1528" w:type="dxa"/>
            <w:tcBorders>
              <w:top w:val="nil"/>
              <w:left w:val="nil"/>
              <w:bottom w:val="single" w:color="auto" w:sz="4" w:space="0"/>
              <w:right w:val="single" w:color="auto" w:sz="8" w:space="0"/>
            </w:tcBorders>
            <w:vAlign w:val="center"/>
          </w:tcPr>
          <w:p>
            <w:pPr>
              <w:widowControl/>
              <w:spacing w:line="240" w:lineRule="auto"/>
              <w:jc w:val="center"/>
              <w:rPr>
                <w:rFonts w:cs="Times New Roman" w:asciiTheme="majorEastAsia" w:hAnsiTheme="majorEastAsia" w:eastAsiaTheme="majorEastAsia"/>
                <w:kern w:val="0"/>
              </w:rPr>
            </w:pPr>
          </w:p>
        </w:tc>
      </w:tr>
      <w:tr>
        <w:tblPrEx>
          <w:tblCellMar>
            <w:top w:w="0" w:type="dxa"/>
            <w:left w:w="108" w:type="dxa"/>
            <w:bottom w:w="0" w:type="dxa"/>
            <w:right w:w="108" w:type="dxa"/>
          </w:tblCellMar>
        </w:tblPrEx>
        <w:trPr>
          <w:trHeight w:val="630" w:hRule="atLeast"/>
        </w:trPr>
        <w:tc>
          <w:tcPr>
            <w:tcW w:w="1111" w:type="dxa"/>
            <w:tcBorders>
              <w:top w:val="single" w:color="auto" w:sz="4" w:space="0"/>
              <w:left w:val="single" w:color="auto" w:sz="8" w:space="0"/>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4.8</w:t>
            </w:r>
          </w:p>
        </w:tc>
        <w:tc>
          <w:tcPr>
            <w:tcW w:w="184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维修密码支持</w:t>
            </w:r>
          </w:p>
        </w:tc>
        <w:tc>
          <w:tcPr>
            <w:tcW w:w="482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开放</w:t>
            </w:r>
          </w:p>
        </w:tc>
        <w:tc>
          <w:tcPr>
            <w:tcW w:w="1528" w:type="dxa"/>
            <w:tcBorders>
              <w:top w:val="single" w:color="auto" w:sz="4" w:space="0"/>
              <w:left w:val="nil"/>
              <w:bottom w:val="single" w:color="auto" w:sz="4" w:space="0"/>
              <w:right w:val="single" w:color="auto" w:sz="8" w:space="0"/>
            </w:tcBorders>
            <w:vAlign w:val="center"/>
          </w:tcPr>
          <w:p>
            <w:pPr>
              <w:widowControl/>
              <w:spacing w:line="240" w:lineRule="auto"/>
              <w:jc w:val="center"/>
              <w:rPr>
                <w:rFonts w:cs="Times New Roman" w:asciiTheme="majorEastAsia" w:hAnsiTheme="majorEastAsia" w:eastAsiaTheme="majorEastAsia"/>
                <w:kern w:val="0"/>
              </w:rPr>
            </w:pPr>
          </w:p>
        </w:tc>
      </w:tr>
      <w:tr>
        <w:tblPrEx>
          <w:tblCellMar>
            <w:top w:w="0" w:type="dxa"/>
            <w:left w:w="108" w:type="dxa"/>
            <w:bottom w:w="0" w:type="dxa"/>
            <w:right w:w="108" w:type="dxa"/>
          </w:tblCellMar>
        </w:tblPrEx>
        <w:trPr>
          <w:trHeight w:val="630" w:hRule="atLeast"/>
        </w:trPr>
        <w:tc>
          <w:tcPr>
            <w:tcW w:w="1111" w:type="dxa"/>
            <w:tcBorders>
              <w:top w:val="nil"/>
              <w:left w:val="single" w:color="auto" w:sz="8" w:space="0"/>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4.9</w:t>
            </w:r>
          </w:p>
        </w:tc>
        <w:tc>
          <w:tcPr>
            <w:tcW w:w="1843" w:type="dxa"/>
            <w:tcBorders>
              <w:top w:val="nil"/>
              <w:left w:val="nil"/>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升级</w:t>
            </w:r>
          </w:p>
        </w:tc>
        <w:tc>
          <w:tcPr>
            <w:tcW w:w="4823" w:type="dxa"/>
            <w:tcBorders>
              <w:top w:val="nil"/>
              <w:left w:val="nil"/>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终身免费软件升级</w:t>
            </w:r>
          </w:p>
        </w:tc>
        <w:tc>
          <w:tcPr>
            <w:tcW w:w="1528" w:type="dxa"/>
            <w:tcBorders>
              <w:top w:val="nil"/>
              <w:left w:val="nil"/>
              <w:bottom w:val="single" w:color="auto" w:sz="4" w:space="0"/>
              <w:right w:val="single" w:color="auto" w:sz="8" w:space="0"/>
            </w:tcBorders>
            <w:vAlign w:val="center"/>
          </w:tcPr>
          <w:p>
            <w:pPr>
              <w:widowControl/>
              <w:spacing w:line="240" w:lineRule="auto"/>
              <w:jc w:val="center"/>
              <w:rPr>
                <w:rFonts w:cs="Times New Roman" w:asciiTheme="majorEastAsia" w:hAnsiTheme="majorEastAsia" w:eastAsiaTheme="majorEastAsia"/>
                <w:kern w:val="0"/>
              </w:rPr>
            </w:pPr>
          </w:p>
        </w:tc>
      </w:tr>
      <w:tr>
        <w:tblPrEx>
          <w:tblCellMar>
            <w:top w:w="0" w:type="dxa"/>
            <w:left w:w="108" w:type="dxa"/>
            <w:bottom w:w="0" w:type="dxa"/>
            <w:right w:w="108" w:type="dxa"/>
          </w:tblCellMar>
        </w:tblPrEx>
        <w:trPr>
          <w:trHeight w:val="630" w:hRule="atLeast"/>
        </w:trPr>
        <w:tc>
          <w:tcPr>
            <w:tcW w:w="1111" w:type="dxa"/>
            <w:tcBorders>
              <w:top w:val="single" w:color="auto" w:sz="4" w:space="0"/>
              <w:left w:val="single" w:color="auto" w:sz="8" w:space="0"/>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4.10</w:t>
            </w:r>
          </w:p>
        </w:tc>
        <w:tc>
          <w:tcPr>
            <w:tcW w:w="184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使用培训</w:t>
            </w:r>
          </w:p>
        </w:tc>
        <w:tc>
          <w:tcPr>
            <w:tcW w:w="482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支持</w:t>
            </w:r>
          </w:p>
        </w:tc>
        <w:tc>
          <w:tcPr>
            <w:tcW w:w="1528" w:type="dxa"/>
            <w:tcBorders>
              <w:top w:val="single" w:color="auto" w:sz="4" w:space="0"/>
              <w:left w:val="nil"/>
              <w:bottom w:val="single" w:color="auto" w:sz="4" w:space="0"/>
              <w:right w:val="single" w:color="auto" w:sz="8" w:space="0"/>
            </w:tcBorders>
            <w:vAlign w:val="center"/>
          </w:tcPr>
          <w:p>
            <w:pPr>
              <w:widowControl/>
              <w:spacing w:line="240" w:lineRule="auto"/>
              <w:jc w:val="center"/>
              <w:rPr>
                <w:rFonts w:cs="Times New Roman" w:asciiTheme="majorEastAsia" w:hAnsiTheme="majorEastAsia" w:eastAsiaTheme="majorEastAsia"/>
                <w:kern w:val="0"/>
              </w:rPr>
            </w:pPr>
          </w:p>
        </w:tc>
      </w:tr>
      <w:tr>
        <w:tblPrEx>
          <w:tblCellMar>
            <w:top w:w="0" w:type="dxa"/>
            <w:left w:w="108" w:type="dxa"/>
            <w:bottom w:w="0" w:type="dxa"/>
            <w:right w:w="108" w:type="dxa"/>
          </w:tblCellMar>
        </w:tblPrEx>
        <w:trPr>
          <w:trHeight w:val="630" w:hRule="atLeast"/>
        </w:trPr>
        <w:tc>
          <w:tcPr>
            <w:tcW w:w="1111" w:type="dxa"/>
            <w:tcBorders>
              <w:top w:val="nil"/>
              <w:left w:val="single" w:color="auto" w:sz="8" w:space="0"/>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4.11</w:t>
            </w:r>
          </w:p>
        </w:tc>
        <w:tc>
          <w:tcPr>
            <w:tcW w:w="1843" w:type="dxa"/>
            <w:tcBorders>
              <w:top w:val="nil"/>
              <w:left w:val="nil"/>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工程师培训</w:t>
            </w:r>
          </w:p>
        </w:tc>
        <w:tc>
          <w:tcPr>
            <w:tcW w:w="4823" w:type="dxa"/>
            <w:tcBorders>
              <w:top w:val="nil"/>
              <w:left w:val="nil"/>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支持</w:t>
            </w:r>
          </w:p>
        </w:tc>
        <w:tc>
          <w:tcPr>
            <w:tcW w:w="1528" w:type="dxa"/>
            <w:tcBorders>
              <w:top w:val="nil"/>
              <w:left w:val="nil"/>
              <w:bottom w:val="single" w:color="auto" w:sz="4" w:space="0"/>
              <w:right w:val="single" w:color="auto" w:sz="8" w:space="0"/>
            </w:tcBorders>
            <w:vAlign w:val="center"/>
          </w:tcPr>
          <w:p>
            <w:pPr>
              <w:widowControl/>
              <w:spacing w:line="240" w:lineRule="auto"/>
              <w:jc w:val="center"/>
              <w:rPr>
                <w:rFonts w:cs="Times New Roman" w:asciiTheme="majorEastAsia" w:hAnsiTheme="majorEastAsia" w:eastAsiaTheme="majorEastAsia"/>
                <w:kern w:val="0"/>
              </w:rPr>
            </w:pPr>
          </w:p>
        </w:tc>
      </w:tr>
    </w:tbl>
    <w:p>
      <w:pPr>
        <w:adjustRightInd w:val="0"/>
        <w:snapToGrid w:val="0"/>
        <w:spacing w:line="440" w:lineRule="exact"/>
        <w:ind w:firstLine="339" w:firstLineChars="147"/>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注：关键重要技术指标参数以</w:t>
      </w:r>
      <w:r>
        <w:rPr>
          <w:rFonts w:hint="eastAsia" w:cs="宋体" w:asciiTheme="minorEastAsia" w:hAnsiTheme="minorEastAsia"/>
          <w:kern w:val="0"/>
          <w:sz w:val="24"/>
          <w:szCs w:val="24"/>
          <w:lang w:val="zh-CN"/>
        </w:rPr>
        <w:t>★</w:t>
      </w:r>
      <w:r>
        <w:rPr>
          <w:rFonts w:hint="eastAsia" w:cs="Times New Roman" w:asciiTheme="minorEastAsia" w:hAnsiTheme="minorEastAsia"/>
          <w:kern w:val="0"/>
          <w:sz w:val="24"/>
          <w:szCs w:val="24"/>
          <w:lang w:val="zh-CN"/>
        </w:rPr>
        <w:t>标记（有1项不满足即按无效投标处理），重要指标参数以▲标记，一般技术指标参数不作标记。投标人须提供技术支持资料</w:t>
      </w:r>
      <w:r>
        <w:rPr>
          <w:rFonts w:hint="eastAsia" w:cs="Times New Roman" w:asciiTheme="minorEastAsia" w:hAnsiTheme="minorEastAsia"/>
          <w:kern w:val="0"/>
          <w:sz w:val="24"/>
          <w:szCs w:val="24"/>
        </w:rPr>
        <w:t>，包括制造商公开发布的资料（含制造商出具的产品规格表或检测机构出具的检测报告）。</w:t>
      </w:r>
    </w:p>
    <w:p>
      <w:pPr>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二、</w:t>
      </w:r>
      <w:r>
        <w:rPr>
          <w:rFonts w:cs="Times New Roman" w:asciiTheme="minorEastAsia" w:hAnsiTheme="minorEastAsia"/>
          <w:b/>
          <w:kern w:val="0"/>
          <w:sz w:val="24"/>
          <w:szCs w:val="24"/>
        </w:rPr>
        <w:t>商务要求</w:t>
      </w:r>
    </w:p>
    <w:p>
      <w:pPr>
        <w:adjustRightInd w:val="0"/>
        <w:snapToGrid w:val="0"/>
        <w:spacing w:line="440" w:lineRule="exact"/>
        <w:ind w:firstLine="462" w:firstLineChars="200"/>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（一）交货时间：</w:t>
      </w:r>
      <w:r>
        <w:rPr>
          <w:rFonts w:hint="eastAsia" w:cs="Times New Roman" w:asciiTheme="minorEastAsia" w:hAnsiTheme="minorEastAsia"/>
          <w:kern w:val="0"/>
          <w:sz w:val="24"/>
          <w:szCs w:val="24"/>
          <w:u w:val="single"/>
        </w:rPr>
        <w:t>中标人应在采购合同签订后90个日历日</w:t>
      </w:r>
      <w:r>
        <w:rPr>
          <w:rFonts w:cs="Times New Roman" w:asciiTheme="minorEastAsia" w:hAnsiTheme="minorEastAsia"/>
          <w:kern w:val="0"/>
          <w:sz w:val="24"/>
          <w:szCs w:val="24"/>
          <w:u w:val="single"/>
        </w:rPr>
        <w:t>内</w:t>
      </w:r>
      <w:r>
        <w:rPr>
          <w:rFonts w:hint="eastAsia" w:cs="Times New Roman" w:asciiTheme="minorEastAsia" w:hAnsiTheme="minorEastAsia"/>
          <w:kern w:val="0"/>
          <w:sz w:val="24"/>
          <w:szCs w:val="24"/>
          <w:u w:val="single"/>
        </w:rPr>
        <w:t xml:space="preserve">   </w:t>
      </w:r>
    </w:p>
    <w:p>
      <w:pPr>
        <w:adjustRightInd w:val="0"/>
        <w:snapToGrid w:val="0"/>
        <w:spacing w:line="440" w:lineRule="exact"/>
        <w:ind w:firstLine="1141" w:firstLineChars="494"/>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交货地点：</w:t>
      </w:r>
      <w:r>
        <w:rPr>
          <w:rFonts w:hint="eastAsia" w:cs="Times New Roman" w:asciiTheme="minorEastAsia" w:hAnsiTheme="minorEastAsia"/>
          <w:kern w:val="0"/>
          <w:sz w:val="24"/>
          <w:szCs w:val="24"/>
          <w:u w:val="single"/>
          <w:lang w:val="zh-CN"/>
        </w:rPr>
        <w:t xml:space="preserve">   重庆市（指定地点）                    </w:t>
      </w:r>
    </w:p>
    <w:p>
      <w:pPr>
        <w:adjustRightInd w:val="0"/>
        <w:snapToGrid w:val="0"/>
        <w:spacing w:line="440" w:lineRule="exact"/>
        <w:ind w:firstLine="1141" w:firstLineChars="494"/>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交货方式：</w:t>
      </w:r>
      <w:r>
        <w:rPr>
          <w:rFonts w:hint="eastAsia" w:cs="Times New Roman" w:asciiTheme="minorEastAsia" w:hAnsiTheme="minorEastAsia"/>
          <w:kern w:val="0"/>
          <w:sz w:val="24"/>
          <w:szCs w:val="24"/>
          <w:u w:val="single"/>
          <w:lang w:val="zh-CN"/>
        </w:rPr>
        <w:t xml:space="preserve">   </w:t>
      </w:r>
      <w:r>
        <w:rPr>
          <w:rFonts w:hint="eastAsia" w:cs="Times New Roman" w:asciiTheme="minorEastAsia" w:hAnsiTheme="minorEastAsia"/>
          <w:kern w:val="0"/>
          <w:sz w:val="24"/>
          <w:szCs w:val="24"/>
          <w:u w:val="single"/>
        </w:rPr>
        <w:t>按计划送至需方指定地点且安装调试合格</w:t>
      </w:r>
      <w:r>
        <w:rPr>
          <w:rFonts w:hint="eastAsia" w:cs="Times New Roman" w:asciiTheme="minorEastAsia" w:hAnsiTheme="minorEastAsia"/>
          <w:kern w:val="0"/>
          <w:sz w:val="24"/>
          <w:szCs w:val="24"/>
          <w:u w:val="single"/>
          <w:lang w:val="zh-CN"/>
        </w:rPr>
        <w:t xml:space="preserve">  </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（二）</w:t>
      </w:r>
      <w:r>
        <w:rPr>
          <w:rFonts w:hint="eastAsia" w:cs="宋体" w:asciiTheme="minorEastAsia" w:hAnsiTheme="minorEastAsia"/>
          <w:kern w:val="0"/>
          <w:sz w:val="24"/>
          <w:szCs w:val="24"/>
          <w:lang w:val="zh-CN"/>
        </w:rPr>
        <w:t>★</w:t>
      </w:r>
      <w:r>
        <w:rPr>
          <w:rFonts w:hint="eastAsia" w:cs="Times New Roman" w:asciiTheme="minorEastAsia" w:hAnsiTheme="minorEastAsia"/>
          <w:kern w:val="0"/>
          <w:sz w:val="24"/>
          <w:szCs w:val="24"/>
          <w:lang w:val="zh-CN"/>
        </w:rPr>
        <w:t>售后服务</w:t>
      </w:r>
      <w:r>
        <w:rPr>
          <w:rFonts w:hint="eastAsia" w:asciiTheme="minorEastAsia" w:hAnsiTheme="minorEastAsia"/>
          <w:sz w:val="24"/>
          <w:szCs w:val="24"/>
        </w:rPr>
        <w:t>（招标文件实质性条款，投标文件中需承诺）</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 保修期：自验收合格之日起，整机免费保修期至少</w:t>
      </w:r>
      <w:r>
        <w:rPr>
          <w:rFonts w:hint="eastAsia" w:cs="Times New Roman" w:asciiTheme="minorEastAsia" w:hAnsiTheme="minorEastAsia"/>
          <w:kern w:val="0"/>
          <w:sz w:val="24"/>
          <w:szCs w:val="24"/>
          <w:u w:val="single"/>
          <w:lang w:val="zh-CN"/>
        </w:rPr>
        <w:t xml:space="preserve">  3  </w:t>
      </w:r>
      <w:r>
        <w:rPr>
          <w:rFonts w:hint="eastAsia" w:cs="Times New Roman" w:asciiTheme="minorEastAsia" w:hAnsiTheme="minorEastAsia"/>
          <w:kern w:val="0"/>
          <w:sz w:val="24"/>
          <w:szCs w:val="24"/>
          <w:lang w:val="zh-CN"/>
        </w:rPr>
        <w:t>年。</w:t>
      </w:r>
      <w:r>
        <w:rPr>
          <w:rFonts w:cs="Times New Roman" w:asciiTheme="minorEastAsia" w:hAnsiTheme="minorEastAsia"/>
          <w:kern w:val="0"/>
          <w:sz w:val="24"/>
          <w:szCs w:val="24"/>
        </w:rPr>
        <w:t>在</w:t>
      </w:r>
      <w:r>
        <w:rPr>
          <w:rFonts w:hint="eastAsia" w:cs="Times New Roman" w:asciiTheme="minorEastAsia" w:hAnsiTheme="minorEastAsia"/>
          <w:kern w:val="0"/>
          <w:sz w:val="24"/>
          <w:szCs w:val="24"/>
        </w:rPr>
        <w:t>保修期内，除消耗品和人为损坏外，一切均免费维修和维护。</w:t>
      </w:r>
      <w:r>
        <w:rPr>
          <w:rFonts w:hint="eastAsia" w:cs="Times New Roman" w:asciiTheme="minorEastAsia" w:hAnsiTheme="minorEastAsia"/>
          <w:kern w:val="0"/>
          <w:sz w:val="24"/>
          <w:szCs w:val="24"/>
          <w:lang w:val="zh-CN"/>
        </w:rPr>
        <w:t>免费保修期</w:t>
      </w:r>
      <w:r>
        <w:rPr>
          <w:rFonts w:hint="eastAsia" w:cs="Times New Roman" w:asciiTheme="minorEastAsia" w:hAnsiTheme="minorEastAsia"/>
          <w:kern w:val="0"/>
          <w:sz w:val="24"/>
          <w:szCs w:val="24"/>
        </w:rPr>
        <w:t>外，提供终身维修等技术服务保障承诺（因产品或配件停产等导致设备无法维修的原因除外）</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2.</w:t>
      </w:r>
      <w:r>
        <w:rPr>
          <w:rFonts w:hint="eastAsia" w:ascii="楷体" w:hAnsi="楷体" w:eastAsia="楷体" w:cs="Times New Roman"/>
          <w:sz w:val="28"/>
          <w:szCs w:val="28"/>
        </w:rPr>
        <w:t xml:space="preserve"> </w:t>
      </w:r>
      <w:r>
        <w:rPr>
          <w:rFonts w:hint="eastAsia" w:cs="Times New Roman" w:asciiTheme="minorEastAsia" w:hAnsiTheme="minorEastAsia"/>
          <w:kern w:val="0"/>
          <w:sz w:val="24"/>
          <w:szCs w:val="24"/>
        </w:rPr>
        <w:t>响应时间：接到用户报修通知响应时间：</w:t>
      </w:r>
      <w:r>
        <w:rPr>
          <w:rFonts w:hint="eastAsia" w:cs="Times New Roman" w:asciiTheme="minorEastAsia" w:hAnsiTheme="minorEastAsia"/>
          <w:kern w:val="0"/>
          <w:sz w:val="24"/>
          <w:szCs w:val="24"/>
          <w:u w:val="single"/>
        </w:rPr>
        <w:t xml:space="preserve"> 4 </w:t>
      </w:r>
      <w:r>
        <w:rPr>
          <w:rFonts w:hint="eastAsia" w:cs="Times New Roman" w:asciiTheme="minorEastAsia" w:hAnsiTheme="minorEastAsia"/>
          <w:kern w:val="0"/>
          <w:sz w:val="24"/>
          <w:szCs w:val="24"/>
        </w:rPr>
        <w:t>小时以内。本地到现场时间：</w:t>
      </w:r>
      <w:r>
        <w:rPr>
          <w:rFonts w:hint="eastAsia" w:cs="Times New Roman" w:asciiTheme="minorEastAsia" w:hAnsiTheme="minorEastAsia"/>
          <w:kern w:val="0"/>
          <w:sz w:val="24"/>
          <w:szCs w:val="24"/>
          <w:u w:val="single"/>
        </w:rPr>
        <w:t xml:space="preserve"> 6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节假日照常服务)。外地到现场时间：</w:t>
      </w:r>
      <w:r>
        <w:rPr>
          <w:rFonts w:hint="eastAsia" w:cs="Times New Roman" w:asciiTheme="minorEastAsia" w:hAnsiTheme="minorEastAsia"/>
          <w:kern w:val="0"/>
          <w:sz w:val="24"/>
          <w:szCs w:val="24"/>
          <w:u w:val="single"/>
        </w:rPr>
        <w:t xml:space="preserve"> 24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w:t>
      </w:r>
    </w:p>
    <w:p>
      <w:pPr>
        <w:adjustRightInd w:val="0"/>
        <w:snapToGrid w:val="0"/>
        <w:spacing w:line="440" w:lineRule="exact"/>
        <w:ind w:firstLine="462" w:firstLineChars="200"/>
        <w:rPr>
          <w:rFonts w:cs="Arial" w:asciiTheme="minorEastAsia" w:hAnsiTheme="minorEastAsia"/>
          <w:sz w:val="24"/>
          <w:szCs w:val="24"/>
        </w:rPr>
      </w:pPr>
      <w:r>
        <w:rPr>
          <w:rFonts w:hint="eastAsia" w:cs="Times New Roman" w:asciiTheme="minorEastAsia" w:hAnsiTheme="minorEastAsia"/>
          <w:kern w:val="0"/>
          <w:sz w:val="24"/>
          <w:szCs w:val="24"/>
          <w:lang w:val="zh-CN"/>
        </w:rPr>
        <w:t>3.</w:t>
      </w:r>
      <w:r>
        <w:rPr>
          <w:rFonts w:cs="Arial" w:asciiTheme="minorEastAsia" w:hAnsiTheme="minorEastAsia"/>
          <w:sz w:val="24"/>
          <w:szCs w:val="24"/>
        </w:rPr>
        <w:t>保修期内的开机率：保证开机率</w:t>
      </w:r>
      <w:r>
        <w:rPr>
          <w:rFonts w:hint="eastAsia" w:cs="Arial" w:asciiTheme="minorEastAsia" w:hAnsiTheme="minorEastAsia"/>
          <w:sz w:val="24"/>
          <w:szCs w:val="24"/>
          <w:u w:val="single"/>
        </w:rPr>
        <w:t xml:space="preserve">  </w:t>
      </w:r>
      <w:r>
        <w:rPr>
          <w:rFonts w:cs="Arial" w:asciiTheme="minorEastAsia" w:hAnsiTheme="minorEastAsia"/>
          <w:sz w:val="24"/>
          <w:szCs w:val="24"/>
          <w:u w:val="single"/>
        </w:rPr>
        <w:t>95%</w:t>
      </w:r>
      <w:r>
        <w:rPr>
          <w:rFonts w:hint="eastAsia" w:cs="Arial" w:asciiTheme="minorEastAsia" w:hAnsiTheme="minorEastAsia"/>
          <w:sz w:val="24"/>
          <w:szCs w:val="24"/>
          <w:u w:val="single"/>
        </w:rPr>
        <w:t xml:space="preserve"> </w:t>
      </w:r>
      <w:r>
        <w:rPr>
          <w:rFonts w:cs="Arial" w:asciiTheme="minorEastAsia" w:hAnsiTheme="minorEastAsia"/>
          <w:sz w:val="24"/>
          <w:szCs w:val="24"/>
        </w:rPr>
        <w:t>（按一年365天计算）</w:t>
      </w:r>
      <w:r>
        <w:rPr>
          <w:rFonts w:hint="eastAsia" w:cs="Arial" w:asciiTheme="minorEastAsia" w:hAnsiTheme="minorEastAsia"/>
          <w:sz w:val="24"/>
          <w:szCs w:val="24"/>
        </w:rPr>
        <w:t>。</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4.保外维修人工费免费（含交通、住宿、维修工时等）</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5.软件升级：终身免费升级</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6.凡涉及与我院HIS、LIS、PACS、电生理系统、病理信息系统等系统连接的设备，要求具有标准数字接口，若投标产品没有匹配的接口，由中标供应商负责改造并承担相应费用。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7.所有设备应在投标/报价文件商务条款中列出第4-5年全保费用金额，5年以后全保费用金额（如：免费保修3年，第4-5年全保费用不超过合同成交价的3%，5年以后全保费用不超过合同成交价的5%），未列出的按该项条款执行。</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8.安装、验收及培训：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院提供维护手册、维修手册、软件备份、故障代码表、备件清单、零部件、维修密码等维护维修必需的材料和信息。验收标准</w:t>
      </w:r>
      <w:r>
        <w:rPr>
          <w:rFonts w:hint="eastAsia" w:asciiTheme="minorEastAsia" w:hAnsiTheme="minorEastAsia"/>
          <w:sz w:val="24"/>
          <w:szCs w:val="24"/>
        </w:rPr>
        <w:t>按国际标准或经双方协商认可的标准、合同要求及技术协议执行。</w:t>
      </w:r>
      <w:r>
        <w:rPr>
          <w:rFonts w:hint="eastAsia" w:cs="Arial" w:asciiTheme="minorEastAsia" w:hAnsiTheme="minorEastAsia"/>
          <w:sz w:val="24"/>
          <w:szCs w:val="24"/>
        </w:rPr>
        <w:t>仪器技术指标经验收合格后，出具验收报告并正式交付用户使用。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9.</w:t>
      </w:r>
      <w:r>
        <w:rPr>
          <w:rFonts w:hint="eastAsia" w:asciiTheme="minorEastAsia" w:hAnsiTheme="minorEastAsia"/>
          <w:sz w:val="24"/>
          <w:szCs w:val="24"/>
        </w:rPr>
        <w:t xml:space="preserve"> 包装和运输：卖方负责设备的包装和运输。包装必须坚固，能适用远距离的海运、空运及气候的变化，并能适应中国境内铁路、公路运输。</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10.若此次招标设备需配套使用耗材（试剂），耗材（试剂）需要一并进行报价，视情纳入计算经济分。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★（三）</w:t>
      </w:r>
      <w:r>
        <w:rPr>
          <w:rFonts w:hint="eastAsia" w:cs="Times New Roman" w:asciiTheme="minorEastAsia" w:hAnsiTheme="minorEastAsia"/>
          <w:kern w:val="0"/>
          <w:sz w:val="24"/>
          <w:szCs w:val="24"/>
        </w:rPr>
        <w:t>专利权和保密要求</w:t>
      </w:r>
      <w:r>
        <w:rPr>
          <w:rFonts w:hint="eastAsia" w:asciiTheme="minorEastAsia" w:hAnsiTheme="minorEastAsia"/>
          <w:sz w:val="24"/>
          <w:szCs w:val="24"/>
        </w:rPr>
        <w:t>（招标文件实质性条款，投标文件中需承诺）</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投标人应保证使用方在使用该货物或其任何一部分时，不受第三方侵权指控。同时，投标人不得向第三方泄露招标人提供的技术文件等资料。</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（四）现场勘查</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1.本项目不组织现场勘查。</w:t>
      </w:r>
    </w:p>
    <w:p>
      <w:pPr>
        <w:adjustRightInd w:val="0"/>
        <w:snapToGrid w:val="0"/>
        <w:spacing w:line="440" w:lineRule="exact"/>
        <w:ind w:firstLine="462" w:firstLineChars="200"/>
        <w:rPr>
          <w:rFonts w:cs="Times New Roman" w:asciiTheme="minorEastAsia" w:hAnsiTheme="minorEastAsia"/>
          <w:kern w:val="0"/>
          <w:sz w:val="24"/>
          <w:szCs w:val="24"/>
          <w:lang w:val="zh-CN"/>
        </w:rPr>
      </w:pPr>
    </w:p>
    <w:p>
      <w:pPr>
        <w:adjustRightInd w:val="0"/>
        <w:snapToGrid w:val="0"/>
        <w:spacing w:line="440" w:lineRule="exact"/>
        <w:ind w:firstLine="462" w:firstLineChars="200"/>
        <w:rPr>
          <w:rFonts w:cs="Times New Roman" w:asciiTheme="minorEastAsia" w:hAnsiTheme="minorEastAsia"/>
          <w:b/>
          <w:kern w:val="0"/>
          <w:sz w:val="24"/>
          <w:szCs w:val="24"/>
        </w:rPr>
        <w:sectPr>
          <w:headerReference r:id="rId5" w:type="default"/>
          <w:footerReference r:id="rId6" w:type="default"/>
          <w:pgSz w:w="11906" w:h="16838"/>
          <w:pgMar w:top="2098" w:right="1474" w:bottom="1985" w:left="1588" w:header="851" w:footer="992" w:gutter="0"/>
          <w:cols w:space="425" w:num="1"/>
          <w:docGrid w:type="linesAndChars" w:linePitch="579" w:charSpace="-1844"/>
        </w:sectPr>
      </w:pPr>
    </w:p>
    <w:p>
      <w:pPr>
        <w:autoSpaceDE w:val="0"/>
        <w:autoSpaceDN w:val="0"/>
        <w:adjustRightInd w:val="0"/>
        <w:snapToGrid w:val="0"/>
        <w:spacing w:line="440" w:lineRule="exact"/>
        <w:jc w:val="center"/>
        <w:outlineLvl w:val="0"/>
        <w:rPr>
          <w:rFonts w:ascii="黑体" w:hAnsi="黑体" w:eastAsia="黑体" w:cs="Times New Roman"/>
          <w:kern w:val="0"/>
          <w:sz w:val="32"/>
          <w:szCs w:val="32"/>
        </w:rPr>
      </w:pPr>
      <w:bookmarkStart w:id="9" w:name="_Toc240432230"/>
      <w:bookmarkStart w:id="10" w:name="_Toc390713968"/>
      <w:bookmarkStart w:id="11" w:name="_Toc37172689"/>
      <w:bookmarkStart w:id="12" w:name="_Toc285612601"/>
      <w:bookmarkStart w:id="13" w:name="_Toc435540980"/>
      <w:r>
        <w:rPr>
          <w:rFonts w:hint="eastAsia" w:ascii="黑体" w:hAnsi="黑体" w:eastAsia="黑体" w:cs="Times New Roman"/>
          <w:kern w:val="0"/>
          <w:sz w:val="32"/>
          <w:szCs w:val="32"/>
        </w:rPr>
        <w:t xml:space="preserve">第三部分  </w:t>
      </w:r>
      <w:r>
        <w:rPr>
          <w:rFonts w:hint="eastAsia" w:ascii="黑体" w:hAnsi="黑体" w:eastAsia="黑体" w:cs="Times New Roman"/>
          <w:kern w:val="0"/>
          <w:sz w:val="32"/>
          <w:szCs w:val="32"/>
          <w:lang w:val="zh-CN"/>
        </w:rPr>
        <w:t>投标人</w:t>
      </w:r>
      <w:r>
        <w:rPr>
          <w:rFonts w:hint="eastAsia" w:ascii="黑体" w:hAnsi="黑体" w:eastAsia="黑体" w:cs="Times New Roman"/>
          <w:kern w:val="0"/>
          <w:sz w:val="32"/>
          <w:szCs w:val="32"/>
        </w:rPr>
        <w:t>须知</w:t>
      </w:r>
      <w:bookmarkEnd w:id="9"/>
      <w:bookmarkEnd w:id="10"/>
      <w:bookmarkEnd w:id="11"/>
      <w:bookmarkEnd w:id="12"/>
      <w:bookmarkEnd w:id="13"/>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cs="Times New Roman" w:asciiTheme="minorEastAsia" w:hAnsiTheme="minorEastAsia"/>
          <w:kern w:val="0"/>
          <w:sz w:val="24"/>
          <w:szCs w:val="24"/>
        </w:rPr>
        <w:t>说</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明</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（一）概述</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rPr>
        <w:t>1.</w:t>
      </w:r>
      <w:r>
        <w:rPr>
          <w:rFonts w:hint="eastAsia" w:cs="Times New Roman" w:asciiTheme="minorEastAsia" w:hAnsiTheme="minorEastAsia"/>
          <w:snapToGrid w:val="0"/>
          <w:kern w:val="0"/>
          <w:sz w:val="24"/>
          <w:szCs w:val="24"/>
          <w:lang w:val="zh-CN"/>
        </w:rPr>
        <w:t>本招标文件仅适用于《招标公告》中所述的采购项目；</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rPr>
        <w:t>2.</w:t>
      </w:r>
      <w:r>
        <w:rPr>
          <w:rFonts w:hint="eastAsia" w:asciiTheme="minorEastAsia" w:hAnsiTheme="minor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（二）定义</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1.“采购项目”系指本招标文件描述的所需采购的货物和相关服务；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2.“招标人”系指组织本次招标的</w:t>
      </w:r>
      <w:r>
        <w:rPr>
          <w:rFonts w:hint="eastAsia" w:cs="Times New Roman" w:asciiTheme="minorEastAsia" w:hAnsiTheme="minorEastAsia"/>
          <w:snapToGrid w:val="0"/>
          <w:kern w:val="0"/>
          <w:sz w:val="24"/>
          <w:szCs w:val="24"/>
          <w:u w:val="single"/>
          <w:lang w:val="zh-CN"/>
        </w:rPr>
        <w:t xml:space="preserve">  物资采购中心  </w:t>
      </w:r>
      <w:r>
        <w:rPr>
          <w:rFonts w:hint="eastAsia" w:cs="Times New Roman" w:asciiTheme="minorEastAsia" w:hAnsiTheme="minorEastAsia"/>
          <w:snapToGrid w:val="0"/>
          <w:kern w:val="0"/>
          <w:sz w:val="24"/>
          <w:szCs w:val="24"/>
          <w:lang w:val="zh-CN"/>
        </w:rPr>
        <w:t>；</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3.“投标人”系指从招标人按规定获取招标文件，并提交投标文件的供应商；</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4.“中标人”系指经过招标评审，授予合同的投标人；</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5.“货物”系指中标人按招标文件规定，所提供的各种形态和种类的物品，包括设备、产品、备品备件、工具、手册等；</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6.“服务”系指中标人按招标文件规定，必须承担的运输、安装、调试、技术协助、培训、维修、配件供应等义务。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（三）合格的投标人</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1.能够遵守国家和军队的有关法律、法规和本次招标的有关规定；</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2.符合《招标公告》所述投标人的资格要求和特定资格条件；</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3.能够承担投标及履约中应承担的全部责任与义务。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（四）合格的货物和相关服务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 xml:space="preserve">1.投标人对所提供的货物应当享有合法的所有权，没有侵犯任何第三方的知识产权、技术秘密等权利，而且不存在任何抵押、留置、查封等产权瑕疵； </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2.投标人提供的货物必须是全新的、未使用过的，货物和相关服务应当符合招标文件要求。</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（五）投标委托</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如投标人代表不是法定代表人，须持有《法定代表人授权书》（</w:t>
      </w:r>
      <w:r>
        <w:rPr>
          <w:rFonts w:hint="eastAsia" w:cs="Times New Roman" w:asciiTheme="minorEastAsia" w:hAnsiTheme="minorEastAsia"/>
          <w:kern w:val="0"/>
          <w:sz w:val="24"/>
          <w:szCs w:val="24"/>
          <w:lang w:val="zh-CN"/>
        </w:rPr>
        <w:t>附件17</w:t>
      </w:r>
      <w:r>
        <w:rPr>
          <w:rFonts w:hint="eastAsia" w:cs="Times New Roman" w:asciiTheme="minorEastAsia" w:hAnsiTheme="minorEastAsia"/>
          <w:snapToGrid w:val="0"/>
          <w:kern w:val="0"/>
          <w:sz w:val="24"/>
          <w:szCs w:val="24"/>
          <w:lang w:val="zh-CN"/>
        </w:rPr>
        <w:t>）。</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（六）付款及结算方式</w:t>
      </w:r>
    </w:p>
    <w:p>
      <w:pPr>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身不得参与医院采购活动。</w:t>
      </w:r>
    </w:p>
    <w:p>
      <w:pPr>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2.预留质量保证金为合同总金额的</w:t>
      </w:r>
      <w:r>
        <w:rPr>
          <w:rFonts w:hint="eastAsia" w:cs="Times New Roman" w:asciiTheme="minorEastAsia" w:hAnsiTheme="minorEastAsia"/>
          <w:kern w:val="0"/>
          <w:sz w:val="24"/>
          <w:szCs w:val="24"/>
          <w:u w:val="single"/>
          <w:lang w:val="zh-CN"/>
        </w:rPr>
        <w:t xml:space="preserve">  5%  </w:t>
      </w:r>
      <w:r>
        <w:rPr>
          <w:rFonts w:hint="eastAsia" w:cs="Times New Roman" w:asciiTheme="minorEastAsia" w:hAnsiTheme="minorEastAsia"/>
          <w:kern w:val="0"/>
          <w:sz w:val="24"/>
          <w:szCs w:val="24"/>
          <w:lang w:val="zh-CN"/>
        </w:rPr>
        <w:t>，</w:t>
      </w:r>
      <w:r>
        <w:rPr>
          <w:rFonts w:hint="eastAsia" w:cs="Times New Roman" w:asciiTheme="minorEastAsia" w:hAnsiTheme="minorEastAsia"/>
          <w:kern w:val="0"/>
          <w:sz w:val="24"/>
          <w:szCs w:val="24"/>
        </w:rPr>
        <w:t>自验收合格之日起，</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十二个月 </w:t>
      </w:r>
      <w:r>
        <w:rPr>
          <w:rFonts w:hint="eastAsia" w:cs="Times New Roman" w:asciiTheme="minorEastAsia" w:hAnsiTheme="minorEastAsia"/>
          <w:kern w:val="0"/>
          <w:sz w:val="24"/>
          <w:szCs w:val="24"/>
        </w:rPr>
        <w:t>正常使用且无质量问题时，一次性结清。</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（七）投标费用</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不论投标结果如何，投标人均应自行承担与投标有关的全部费用。</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（八）信息发布</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本采购项目需要公开的有关信息，招标人均通过</w:t>
      </w:r>
      <w:r>
        <w:rPr>
          <w:rFonts w:hint="eastAsia" w:cs="Times New Roman" w:asciiTheme="minorEastAsia" w:hAnsiTheme="minorEastAsia"/>
          <w:snapToGrid w:val="0"/>
          <w:kern w:val="0"/>
          <w:sz w:val="24"/>
          <w:szCs w:val="24"/>
        </w:rPr>
        <w:t>《中国招标网》（www.zhaobiao.cn）及我院官网（www.xnyy.cn）</w:t>
      </w:r>
      <w:r>
        <w:rPr>
          <w:rFonts w:hint="eastAsia" w:cs="Times New Roman" w:asciiTheme="minorEastAsia" w:hAnsiTheme="minorEastAsia"/>
          <w:snapToGrid w:val="0"/>
          <w:kern w:val="0"/>
          <w:sz w:val="24"/>
          <w:szCs w:val="24"/>
          <w:lang w:val="zh-CN"/>
        </w:rPr>
        <w:t>公开发布。投标人在参与本采购项目招投标活动期间，请及时关注以上媒体上的相关信息，投标人因没有及时关注而未能如期获取相关信息，将会增加投标风险，招标人对此不承担任何责任。</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二、招标</w:t>
      </w:r>
      <w:r>
        <w:rPr>
          <w:rFonts w:cs="Times New Roman" w:asciiTheme="minorEastAsia" w:hAnsiTheme="minorEastAsia"/>
          <w:kern w:val="0"/>
          <w:sz w:val="24"/>
          <w:szCs w:val="24"/>
        </w:rPr>
        <w:t>文件</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（一）招标文件的内容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招标文件由招标公告、采购项目技术和商务要求、投标人须知、合同样本、附件/投标文件格式等内容构成。</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招标文件以中文编写。纸质招标文件与电子版招标文件具有同等法律效力，两者出现不一致时，以纸质招标文件为准。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（二）招标文件的澄清</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（三）招标文件的修改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1.投标截止时间前，招标人可对已发出的招标文件进行修改。招标文件修改内容是招标文件的组成部分。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三、投标</w:t>
      </w:r>
      <w:r>
        <w:rPr>
          <w:rFonts w:cs="Times New Roman" w:asciiTheme="minorEastAsia" w:hAnsiTheme="minorEastAsia"/>
          <w:kern w:val="0"/>
          <w:sz w:val="24"/>
          <w:szCs w:val="24"/>
        </w:rPr>
        <w:t>文件编制</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（一）注意事项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（二）投标文件的语言及计量单位</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1.投标文件和来往信函均以中文书写。确有需要时，相关内容可以使用其他语言书写，但必须同时提供中文译文，不同语言文本投标文件的解释发生异议的，以中文译文为准。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2.投标文件中所使用的计量单位，除投标文件中有特殊要求外，均采用国家法定计量单位。</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（三）投标文件组成（包括3部分：价格文件、投标书、资格证明文件）</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1.价格文件包括（信封单独封装）：</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(1)开标一览表（附件1）</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(2)分项报价表（附件2）</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2.投标书包括：</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(1)投标函（附件3）</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(2)货物简要说明一览表（附件4）</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(3)主要技术性能参数表（附件5）</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(4)技术指标参数响应偏离表（附件6）</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(5)主要商务条款响应偏离表（附件7）</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(6)交货清单（附件8）</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(7)易损易耗件清单（附件9）</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(8)专机配套耗材（试剂）明细表（附件10）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(9)投标人售后服务承诺（附件11）</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(10)生产厂家售后服务承诺（进口设备由总代提供，附件12）</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(11)近3年中标成交案例及同类项目案例（附件13）</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(12)投标产品相关检测报告</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(13)技术评审表（附件14）</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(14)商务评审表（附件15）</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(15)投标人认为需要加以说明的其他内容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投标人可以选择性提供其他材料，包括但不限于投标人的质量管理制度、质量检测机构、质量检测设备（提供设备清单和图片），以及第三方质量检测报告等与质量控制相关的证明材料及投标人拟用于履行本项目所必需的设施设备（提供图片、说明和购置发票或租赁协议）、专业技术能力、专业技术人员（提供人员清单和学历、学位或职称证书）的证明材料，仅作为商务、技术评审依据，不作为资格性和符合性审查要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3.资格证明文件包括（除必须要求原件外，其他资料原件和复印件均可）：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(2)法定代表人资格证明书（含法定代表人身份证复印件）（原件，附件16）</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(3)法定代表人授权书（含被授权人身份证复印件）（原件，如法定代表人未到开标现场需提供，附件17）</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(4)主要股东或出资人信息（附件18）</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(5)保密承诺书（附件19）</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r>
        <w:rPr>
          <w:rFonts w:hint="eastAsia" w:cs="Times New Roman" w:asciiTheme="minorEastAsia" w:hAnsiTheme="minorEastAsia"/>
          <w:kern w:val="0"/>
          <w:sz w:val="24"/>
          <w:szCs w:val="24"/>
        </w:rPr>
        <w:t>（附件20）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(7)最近连续6个月缴纳社会保障金的银行转账汇款单或相应证明材料（依法不需要缴纳社会保障资金的投标人，应提供相应文件证明其不需要缴纳社会保障资金）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(8)最近连续6个月纳税的银行转账汇款单或相应证明材料（依法免税的投标人，应提供相应文件证明其依法免税）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 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(10)相关声明书（包含但不限于以下内容）：①非外资企业或外资控股企业的书面声明；②参加本次采购活动前3年内在经营活动中没有重大违法记录的书面声明。（附件21）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(11)医疗器械经营许可证或二类备案凭证（需具备投标产品经营资格)</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(13)生产企业《医疗器械生产许可证》（需具备投标产品生产资格，进口产品提供国内总代理相关经营许可证）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(14)投标产品《医疗器械产品注册证》（所投产品不属于医疗器械的无需提供）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(15)生产企业对代理公司投标授权书（进口产品需提供原产厂家对中国总代的中英文授权书复印件或同步翻译件。附件22）</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(16)投标人认为需要加以说明的其他内容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(17)</w:t>
      </w:r>
      <w:r>
        <w:rPr>
          <w:rFonts w:hint="eastAsia"/>
        </w:rPr>
        <w:t xml:space="preserve"> </w:t>
      </w:r>
      <w:r>
        <w:rPr>
          <w:rFonts w:hint="eastAsia" w:cs="Times New Roman" w:asciiTheme="minorEastAsia" w:hAnsiTheme="minorEastAsia"/>
          <w:kern w:val="0"/>
          <w:sz w:val="24"/>
          <w:szCs w:val="24"/>
        </w:rPr>
        <w:t>投标人可以选择性提供其他资格证明文件，包括但不限于质量管理体系认证证书、环境管理体系认证证书、职业健康管理体系认证证书、3C认证、</w:t>
      </w:r>
      <w:r>
        <w:rPr>
          <w:rFonts w:hint="eastAsia" w:asciiTheme="majorEastAsia" w:hAnsiTheme="majorEastAsia" w:eastAsiaTheme="majorEastAsia"/>
          <w:sz w:val="24"/>
          <w:szCs w:val="24"/>
        </w:rPr>
        <w:t>计量器具许可证、消毒产品生产企业卫生许可和消毒卫生产品安全评价报告</w:t>
      </w:r>
      <w:r>
        <w:rPr>
          <w:rFonts w:hint="eastAsia" w:cs="Times New Roman" w:asciiTheme="minorEastAsia" w:hAnsiTheme="minorEastAsia"/>
          <w:kern w:val="0"/>
          <w:sz w:val="24"/>
          <w:szCs w:val="24"/>
        </w:rPr>
        <w:t>等相关行业资质证明材料，仅作为商务、技术评审依据，不作为资格性和符合性审查要素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投标人必须按上述统一格式及顺序向招标人提供《价格文件》《投标书》和《资格证明文件》，否则可能被视为无效投标。</w:t>
      </w:r>
    </w:p>
    <w:p>
      <w:pPr>
        <w:adjustRightInd w:val="0"/>
        <w:snapToGrid w:val="0"/>
        <w:spacing w:line="440" w:lineRule="exact"/>
        <w:ind w:firstLine="462" w:firstLineChars="200"/>
        <w:rPr>
          <w:rFonts w:cs="Times New Roman" w:asciiTheme="minorEastAsia" w:hAnsiTheme="minorEastAsia"/>
          <w:snapToGrid w:val="0"/>
          <w:kern w:val="0"/>
          <w:sz w:val="24"/>
          <w:szCs w:val="24"/>
        </w:rPr>
      </w:pPr>
      <w:bookmarkStart w:id="24" w:name="_GoBack"/>
      <w:bookmarkEnd w:id="24"/>
      <w:r>
        <w:rPr>
          <w:rFonts w:hint="eastAsia" w:cs="Times New Roman" w:asciiTheme="minorEastAsia" w:hAnsiTheme="minorEastAsia"/>
          <w:snapToGrid w:val="0"/>
          <w:kern w:val="0"/>
          <w:sz w:val="24"/>
          <w:szCs w:val="24"/>
        </w:rPr>
        <w:t>（四）投标文件的格式规定和签署</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w:t>
      </w:r>
      <w:r>
        <w:rPr>
          <w:rFonts w:hint="eastAsia" w:ascii="仿宋_GB2312" w:hAnsi="宋体" w:eastAsia="仿宋_GB2312" w:cs="Times New Roman"/>
          <w:snapToGrid w:val="0"/>
          <w:kern w:val="0"/>
          <w:sz w:val="32"/>
          <w:szCs w:val="32"/>
        </w:rPr>
        <w:t xml:space="preserve"> </w:t>
      </w:r>
      <w:r>
        <w:rPr>
          <w:rFonts w:hint="eastAsia" w:ascii="宋体" w:hAnsi="宋体" w:eastAsia="宋体" w:cs="Times New Roman"/>
          <w:kern w:val="0"/>
          <w:sz w:val="24"/>
          <w:szCs w:val="24"/>
        </w:rPr>
        <w:t>投标文件应当工整、规范、统一、清晰，</w:t>
      </w:r>
      <w:r>
        <w:rPr>
          <w:rFonts w:hint="eastAsia" w:ascii="宋体" w:hAnsi="宋体" w:eastAsia="宋体" w:cs="Times New Roman"/>
          <w:b/>
          <w:kern w:val="0"/>
          <w:sz w:val="24"/>
          <w:szCs w:val="24"/>
        </w:rPr>
        <w:t>采用A4幅面纸胶装成册、标注页码</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2.</w:t>
      </w:r>
      <w:r>
        <w:rPr>
          <w:rFonts w:hint="eastAsia" w:cs="Times New Roman" w:asciiTheme="minorEastAsia" w:hAnsiTheme="minorEastAsia"/>
          <w:kern w:val="0"/>
          <w:sz w:val="24"/>
          <w:szCs w:val="24"/>
        </w:rPr>
        <w:t>投标人应当按照招标文件规定的统一格式填写投标文件，投标文件开始部分应当有目录，以及方便评审委员会评审使用的项目索引。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3.投标人名称应当填写全称，同时加盖单位公章。</w:t>
      </w:r>
    </w:p>
    <w:p>
      <w:pPr>
        <w:adjustRightInd w:val="0"/>
        <w:snapToGrid w:val="0"/>
        <w:spacing w:line="440" w:lineRule="exact"/>
        <w:ind w:firstLine="462" w:firstLineChars="200"/>
        <w:rPr>
          <w:rFonts w:cs="宋体" w:asciiTheme="minorEastAsia" w:hAnsiTheme="minorEastAsia"/>
          <w:snapToGrid w:val="0"/>
          <w:kern w:val="0"/>
          <w:sz w:val="24"/>
          <w:szCs w:val="24"/>
          <w:lang w:val="zh-CN"/>
        </w:rPr>
      </w:pPr>
      <w:r>
        <w:rPr>
          <w:rFonts w:hint="eastAsia" w:cs="Times New Roman" w:asciiTheme="minorEastAsia" w:hAnsiTheme="minorEastAsia"/>
          <w:kern w:val="0"/>
          <w:sz w:val="24"/>
          <w:szCs w:val="24"/>
        </w:rPr>
        <w:t>4.价格文件、投标书、资格证明文件须单独封装。价格文件一式1份，其中正本1份；投标书一式</w:t>
      </w:r>
      <w:r>
        <w:rPr>
          <w:rFonts w:hint="eastAsia" w:cs="Times New Roman" w:asciiTheme="minorEastAsia" w:hAnsiTheme="minorEastAsia"/>
          <w:kern w:val="0"/>
          <w:sz w:val="24"/>
          <w:szCs w:val="24"/>
          <w:u w:val="single"/>
        </w:rPr>
        <w:t xml:space="preserve"> 7 </w:t>
      </w:r>
      <w:r>
        <w:rPr>
          <w:rFonts w:hint="eastAsia" w:cs="Times New Roman" w:asciiTheme="minorEastAsia" w:hAnsiTheme="minorEastAsia"/>
          <w:kern w:val="0"/>
          <w:sz w:val="24"/>
          <w:szCs w:val="24"/>
        </w:rPr>
        <w:t>份，其中正本1份，副本</w:t>
      </w:r>
      <w:r>
        <w:rPr>
          <w:rFonts w:hint="eastAsia" w:cs="Times New Roman" w:asciiTheme="minorEastAsia" w:hAnsiTheme="minorEastAsia"/>
          <w:kern w:val="0"/>
          <w:sz w:val="24"/>
          <w:szCs w:val="24"/>
          <w:u w:val="single"/>
        </w:rPr>
        <w:t xml:space="preserve"> 6 </w:t>
      </w:r>
      <w:r>
        <w:rPr>
          <w:rFonts w:hint="eastAsia" w:cs="Times New Roman" w:asciiTheme="minorEastAsia" w:hAnsiTheme="minorEastAsia"/>
          <w:kern w:val="0"/>
          <w:sz w:val="24"/>
          <w:szCs w:val="24"/>
        </w:rPr>
        <w:t>份；资格证明文件一式</w:t>
      </w:r>
      <w:r>
        <w:rPr>
          <w:rFonts w:hint="eastAsia" w:cs="Times New Roman" w:asciiTheme="minorEastAsia" w:hAnsiTheme="minorEastAsia"/>
          <w:kern w:val="0"/>
          <w:sz w:val="24"/>
          <w:szCs w:val="24"/>
          <w:u w:val="single"/>
        </w:rPr>
        <w:t xml:space="preserve"> 3 </w:t>
      </w:r>
      <w:r>
        <w:rPr>
          <w:rFonts w:hint="eastAsia" w:cs="Times New Roman" w:asciiTheme="minorEastAsia" w:hAnsiTheme="minorEastAsia"/>
          <w:kern w:val="0"/>
          <w:sz w:val="24"/>
          <w:szCs w:val="24"/>
        </w:rPr>
        <w:t>份，其中正本1份，副本</w:t>
      </w:r>
      <w:r>
        <w:rPr>
          <w:rFonts w:hint="eastAsia" w:cs="Times New Roman" w:asciiTheme="minorEastAsia" w:hAnsiTheme="minorEastAsia"/>
          <w:kern w:val="0"/>
          <w:sz w:val="24"/>
          <w:szCs w:val="24"/>
          <w:u w:val="single"/>
        </w:rPr>
        <w:t xml:space="preserve"> 2 </w:t>
      </w:r>
      <w:r>
        <w:rPr>
          <w:rFonts w:hint="eastAsia" w:cs="Times New Roman" w:asciiTheme="minorEastAsia" w:hAnsiTheme="minorEastAsia"/>
          <w:kern w:val="0"/>
          <w:sz w:val="24"/>
          <w:szCs w:val="24"/>
        </w:rPr>
        <w:t>份。在每一份文件上要注明“正本”或“副本”字样。如果正本与副本不符，以正本为准。</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5.投标文件必须打印或用黑色、蓝黑色墨水填写。</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6.开标一览表必须按照规定的格式填写，不得自行增减内容。</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7.投标文件必须由法定代表人或授权代表签署。</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8.投标文件不得随意涂改和增删。如有修改错漏之处，必须由法定代表人或授权代表签字、盖章。</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8.投标文件</w:t>
      </w:r>
      <w:r>
        <w:rPr>
          <w:rFonts w:hint="eastAsia" w:cs="Times New Roman" w:asciiTheme="minorEastAsia" w:hAnsiTheme="minorEastAsia"/>
          <w:kern w:val="0"/>
          <w:sz w:val="24"/>
          <w:szCs w:val="24"/>
          <w:lang w:val="zh-CN"/>
        </w:rPr>
        <w:t>因字迹潦草或表述不清以及复印件不清所引起的后果由投标人自行负责</w:t>
      </w:r>
      <w:r>
        <w:rPr>
          <w:rFonts w:hint="eastAsia" w:cs="Times New Roman" w:asciiTheme="minorEastAsia" w:hAnsiTheme="minorEastAsia"/>
          <w:kern w:val="0"/>
          <w:sz w:val="24"/>
          <w:szCs w:val="24"/>
        </w:rPr>
        <w:t>。</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rPr>
        <w:t>（五）</w:t>
      </w:r>
      <w:r>
        <w:rPr>
          <w:rFonts w:hint="eastAsia" w:cs="Times New Roman" w:asciiTheme="minorEastAsia" w:hAnsiTheme="minorEastAsia"/>
          <w:snapToGrid w:val="0"/>
          <w:kern w:val="0"/>
          <w:sz w:val="24"/>
          <w:szCs w:val="24"/>
        </w:rPr>
        <w:t>投标文件有效期</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snapToGrid w:val="0"/>
          <w:kern w:val="0"/>
          <w:sz w:val="24"/>
          <w:szCs w:val="24"/>
        </w:rPr>
        <w:t>1.</w:t>
      </w:r>
      <w:r>
        <w:rPr>
          <w:rFonts w:hint="eastAsia" w:cs="Times New Roman" w:asciiTheme="minorEastAsia" w:hAnsiTheme="minorEastAsia"/>
          <w:kern w:val="0"/>
          <w:sz w:val="24"/>
          <w:szCs w:val="24"/>
          <w:lang w:val="zh-CN"/>
        </w:rPr>
        <w:t>投标文件自投标截止时间起</w:t>
      </w:r>
      <w:r>
        <w:rPr>
          <w:rFonts w:hint="eastAsia" w:cs="宋体" w:asciiTheme="minorEastAsia" w:hAnsiTheme="minorEastAsia"/>
          <w:snapToGrid w:val="0"/>
          <w:kern w:val="0"/>
          <w:sz w:val="24"/>
          <w:szCs w:val="24"/>
          <w:lang w:val="zh-CN"/>
        </w:rPr>
        <w:t>180</w:t>
      </w:r>
      <w:r>
        <w:rPr>
          <w:rFonts w:hint="eastAsia" w:cs="Times New Roman" w:asciiTheme="minorEastAsia" w:hAnsiTheme="minorEastAsia"/>
          <w:kern w:val="0"/>
          <w:sz w:val="24"/>
          <w:szCs w:val="24"/>
          <w:lang w:val="zh-CN"/>
        </w:rPr>
        <w:t>日内保持有效。</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2.投标文件有效期需要延长的，招标人可与投标人进行协商，并以书面形式予以确认。同意延长有效期的投标人不能修改投标文件。</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3.在招标过程中</w:t>
      </w:r>
      <w:r>
        <w:rPr>
          <w:rFonts w:hint="eastAsia" w:cs="Times New Roman" w:asciiTheme="minorEastAsia" w:hAnsiTheme="minorEastAsia"/>
          <w:kern w:val="0"/>
          <w:sz w:val="24"/>
          <w:szCs w:val="24"/>
        </w:rPr>
        <w:t>，投标人发生合并、分立、破产等重大变化时，应当及时书面告知招标人。</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rPr>
        <w:t>（六）投标</w:t>
      </w:r>
      <w:r>
        <w:rPr>
          <w:rFonts w:hint="eastAsia" w:cs="Times New Roman" w:asciiTheme="minorEastAsia" w:hAnsiTheme="minorEastAsia"/>
          <w:snapToGrid w:val="0"/>
          <w:kern w:val="0"/>
          <w:sz w:val="24"/>
          <w:szCs w:val="24"/>
        </w:rPr>
        <w:t>报价</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1.</w:t>
      </w:r>
      <w:r>
        <w:rPr>
          <w:rFonts w:hint="eastAsia" w:cs="Times New Roman" w:asciiTheme="minorEastAsia" w:hAnsiTheme="minorEastAsia"/>
          <w:kern w:val="0"/>
          <w:sz w:val="24"/>
          <w:szCs w:val="24"/>
          <w:lang w:val="zh-CN"/>
        </w:rPr>
        <w:t>所有报价均以人民币为货币单位</w:t>
      </w:r>
      <w:r>
        <w:rPr>
          <w:rFonts w:hint="eastAsia" w:cs="Times New Roman" w:asciiTheme="minorEastAsia" w:hAnsiTheme="minorEastAsia"/>
          <w:kern w:val="0"/>
          <w:sz w:val="24"/>
          <w:szCs w:val="24"/>
        </w:rPr>
        <w:t>。</w:t>
      </w:r>
    </w:p>
    <w:p>
      <w:pPr>
        <w:tabs>
          <w:tab w:val="left" w:pos="-1418"/>
        </w:tabs>
        <w:autoSpaceDE w:val="0"/>
        <w:autoSpaceDN w:val="0"/>
        <w:adjustRightInd w:val="0"/>
        <w:snapToGrid w:val="0"/>
        <w:spacing w:line="440" w:lineRule="exact"/>
        <w:ind w:firstLine="462" w:firstLineChars="200"/>
        <w:rPr>
          <w:rFonts w:cs="宋体" w:asciiTheme="minorEastAsia" w:hAnsiTheme="minorEastAsia"/>
          <w:snapToGrid w:val="0"/>
          <w:kern w:val="0"/>
          <w:sz w:val="24"/>
          <w:szCs w:val="24"/>
          <w:lang w:val="zh-CN"/>
        </w:rPr>
      </w:pPr>
      <w:r>
        <w:rPr>
          <w:rFonts w:hint="eastAsia" w:cs="Times New Roman" w:asciiTheme="minorEastAsia" w:hAnsiTheme="minorEastAsia"/>
          <w:kern w:val="0"/>
          <w:sz w:val="24"/>
          <w:szCs w:val="24"/>
        </w:rPr>
        <w:t>2.</w:t>
      </w:r>
      <w:r>
        <w:rPr>
          <w:rFonts w:hint="eastAsia" w:cs="Times New Roman" w:asciiTheme="minorEastAsia" w:hAnsiTheme="minorEastAsia"/>
          <w:kern w:val="0"/>
          <w:sz w:val="24"/>
          <w:szCs w:val="24"/>
          <w:lang w:val="zh-CN"/>
        </w:rPr>
        <w:t>所有单价和总价按照开标一览表格式要求填报。</w:t>
      </w:r>
      <w:r>
        <w:rPr>
          <w:rFonts w:hint="eastAsia" w:cs="宋体" w:asciiTheme="minorEastAsia" w:hAnsiTheme="minorEastAsia"/>
          <w:snapToGrid w:val="0"/>
          <w:kern w:val="0"/>
          <w:sz w:val="24"/>
          <w:szCs w:val="24"/>
          <w:lang w:val="zh-CN"/>
        </w:rPr>
        <w:t>报价应包括货款、标准附件、备品备件、专用工具、包装、安装、调试、培训、保修等费用和税金。</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宋体" w:asciiTheme="minorEastAsia" w:hAnsiTheme="minorEastAsia"/>
          <w:snapToGrid w:val="0"/>
          <w:kern w:val="0"/>
          <w:sz w:val="24"/>
          <w:szCs w:val="24"/>
          <w:lang w:val="zh-CN"/>
        </w:rPr>
        <w:t>3.</w:t>
      </w:r>
      <w:r>
        <w:rPr>
          <w:rFonts w:hint="eastAsia" w:cs="Times New Roman" w:asciiTheme="minorEastAsia" w:hAnsiTheme="minorEastAsia"/>
          <w:kern w:val="0"/>
          <w:sz w:val="24"/>
          <w:szCs w:val="24"/>
          <w:lang w:val="zh-CN"/>
        </w:rPr>
        <w:t>投标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投标文件的解释发生异议的，以中文文本为准。投标人不接受以上修正的视为无效投标。</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4.投标人</w:t>
      </w:r>
      <w:r>
        <w:rPr>
          <w:rFonts w:hint="eastAsia" w:cs="Times New Roman" w:asciiTheme="minorEastAsia" w:hAnsiTheme="minorEastAsia"/>
          <w:kern w:val="0"/>
          <w:sz w:val="24"/>
          <w:szCs w:val="24"/>
        </w:rPr>
        <w:t>对同一种货物只允许有一种报价，招标人不接受任何有选择的报价或者有附加条件的报价。</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评审委员会对投标人每个项目各品种物资报价进行评定。若五分之四以上评委认定报价或者重要分项报价明显不合理或者低于成本，有可能影响产品质量和不能诚信履约的，评审委员会应当要求其在规定时限内提供书面文件予以解释说明，并提交相关证明材料，否则评审委员会有权视其为低价恶意竞争，其投标报价无效。</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四、投标</w:t>
      </w:r>
      <w:r>
        <w:rPr>
          <w:rFonts w:cs="Times New Roman" w:asciiTheme="minorEastAsia" w:hAnsiTheme="minorEastAsia"/>
          <w:kern w:val="0"/>
          <w:sz w:val="24"/>
          <w:szCs w:val="24"/>
        </w:rPr>
        <w:t>文件递交</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（一）投标文件密封及标记</w:t>
      </w:r>
    </w:p>
    <w:p>
      <w:pPr>
        <w:adjustRightInd w:val="0"/>
        <w:snapToGrid w:val="0"/>
        <w:spacing w:line="440" w:lineRule="exact"/>
        <w:ind w:firstLine="462" w:firstLineChars="200"/>
        <w:rPr>
          <w:rFonts w:asciiTheme="minorEastAsia" w:hAnsiTheme="minorEastAsia"/>
          <w:sz w:val="24"/>
          <w:szCs w:val="24"/>
        </w:rPr>
      </w:pPr>
      <w:r>
        <w:rPr>
          <w:rFonts w:hint="eastAsia" w:cs="Times New Roman" w:asciiTheme="minorEastAsia" w:hAnsiTheme="minorEastAsia"/>
          <w:snapToGrid w:val="0"/>
          <w:kern w:val="0"/>
          <w:sz w:val="24"/>
          <w:szCs w:val="24"/>
        </w:rPr>
        <w:t>1.</w:t>
      </w:r>
      <w:r>
        <w:rPr>
          <w:rFonts w:hint="eastAsia" w:asciiTheme="minorEastAsia" w:hAnsiTheme="minorEastAsia"/>
          <w:sz w:val="24"/>
          <w:szCs w:val="24"/>
        </w:rPr>
        <w:t>价格文件须单独密封、单独递交，与其他文件合并封装的，视为无效投标。</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2.投标书、资格证明文件的正本和副本统一装入密封袋内，封口处应当有投标人单位公章，封面上注明“项目名称、项目编号、所投包号、投标人名称”和“开标时启封”字样。</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3.投标人应当在招标文件明确的递交投标文件截止时间前，将投标文件送达招标人指定地点。逾期递交的投标文件，招标人将拒收。</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4.电报、电话、电传、邮寄等形式的投标文件概不接受。</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5.投标文件未按要求密封、标记的，招标人将拒收。</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lang w:val="zh-CN"/>
        </w:rPr>
        <w:t>（二）</w:t>
      </w:r>
      <w:r>
        <w:rPr>
          <w:rFonts w:hint="eastAsia" w:cs="Times New Roman" w:asciiTheme="minorEastAsia" w:hAnsiTheme="minorEastAsia"/>
          <w:snapToGrid w:val="0"/>
          <w:kern w:val="0"/>
          <w:sz w:val="24"/>
          <w:szCs w:val="24"/>
        </w:rPr>
        <w:t>投标文件的修改和撤回</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2.在投标截止时间之后，招标人将不接受对投标文件内容的实质性修改。</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3.投标人修改投标文件的书面材料，须密封送达投标地点，并在封面上标明“投标修改文件、项目名称、项目编号、投标人名称”和“开标时启封”字样。</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5.开标后，投标人不得撤回投标。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五、开标与评标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（一）开标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w:t>
      </w:r>
      <w:r>
        <w:rPr>
          <w:rFonts w:hint="eastAsia" w:ascii="仿宋_GB2312" w:hAnsi="宋体" w:eastAsia="仿宋_GB2312" w:cs="Times New Roman"/>
          <w:snapToGrid w:val="0"/>
          <w:kern w:val="0"/>
          <w:sz w:val="32"/>
          <w:szCs w:val="32"/>
        </w:rPr>
        <w:t xml:space="preserve"> </w:t>
      </w:r>
      <w:r>
        <w:rPr>
          <w:rFonts w:hint="eastAsia" w:ascii="宋体" w:hAnsi="宋体" w:eastAsia="宋体" w:cs="Times New Roman"/>
          <w:snapToGrid w:val="0"/>
          <w:kern w:val="0"/>
          <w:sz w:val="24"/>
          <w:szCs w:val="24"/>
        </w:rPr>
        <w:t>投标人不足3家的不得开标，除改用比照竞争性谈判或者单一来源方式外，不得拆封供应商投标文件，并当场退还供应商</w:t>
      </w:r>
      <w:r>
        <w:rPr>
          <w:rFonts w:hint="eastAsia" w:cs="Times New Roman" w:asciiTheme="minorEastAsia" w:hAnsiTheme="minorEastAsia"/>
          <w:snapToGrid w:val="0"/>
          <w:kern w:val="0"/>
          <w:sz w:val="24"/>
          <w:szCs w:val="24"/>
        </w:rPr>
        <w:t>。</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2.招标人按招标文件规定的时间、地点开标。开标大会由招标人主持，投标人和有关方面代表参加。评审委员会成员不得参加开标大会。</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4.投标人对开标有异议的，应当在开标现场提出，招标人应当场作出答复。招标人同时做开标记录。</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（二）评标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1.评审委员会</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招标人根据规定组建评审委员会，其成员由技术、经济等方面的专家和招标人代表组成，分为技术评审组和商务评审组，对投标文件进行评审。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2.评标原则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(1)评标工作严格遵守公平、公正、择优的原则；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(2)对所有响应招标文件实质性要求的投标人一视同仁；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(3)综合比较货物性能、质量、价格、交货期、售后服务等因素，确定评审排序结果；</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(4)报价最低不作为中标的保证。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3.评标方法</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综合评分法。技术和商务评审总得分由高到低顺序排列，得分最高的投标人作为预中标人；得分相同的，按照投标报价由低到高顺序排列；得分且投标报价相同的，按照技术评审得分由高到低顺序排列。</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评审委员会成员技术、商务（不含价格因素）最终评分偏离评审委员会全体成员评分均值±20%的，该成员的评分将被剔除，以其他评委的评分均值计算，作为该成员的评分计入总分值；评审委员会所有成员评分均超出±20%时，直接以全体成员评分均值计算，不再剔除。</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投标人报价高于采购预算的，不得推荐为</w:t>
      </w:r>
      <w:r>
        <w:rPr>
          <w:rFonts w:hint="eastAsia" w:cs="Times New Roman" w:asciiTheme="minorEastAsia" w:hAnsiTheme="minorEastAsia"/>
          <w:sz w:val="24"/>
          <w:szCs w:val="24"/>
        </w:rPr>
        <w:t>预中标人</w:t>
      </w:r>
      <w:r>
        <w:rPr>
          <w:rFonts w:hint="eastAsia" w:ascii="宋体" w:hAnsi="宋体" w:eastAsia="宋体" w:cs="Times New Roman"/>
          <w:kern w:val="0"/>
          <w:sz w:val="24"/>
          <w:szCs w:val="24"/>
        </w:rPr>
        <w:t>（经采购管理部门批准同意的除外）。</w:t>
      </w:r>
    </w:p>
    <w:p>
      <w:pPr>
        <w:adjustRightInd w:val="0"/>
        <w:snapToGrid w:val="0"/>
        <w:spacing w:line="440" w:lineRule="exact"/>
        <w:ind w:firstLine="462" w:firstLineChars="200"/>
        <w:rPr>
          <w:rFonts w:cs="Times New Roman" w:asciiTheme="minorEastAsia" w:hAnsiTheme="minorEastAsia"/>
          <w:sz w:val="24"/>
          <w:szCs w:val="24"/>
        </w:rPr>
      </w:pPr>
    </w:p>
    <w:p>
      <w:pPr>
        <w:adjustRightInd w:val="0"/>
        <w:snapToGrid w:val="0"/>
        <w:spacing w:line="440" w:lineRule="exact"/>
        <w:ind w:firstLine="227" w:firstLineChars="98"/>
        <w:rPr>
          <w:rFonts w:ascii="黑体" w:hAnsi="黑体" w:eastAsia="黑体" w:cs="Times New Roman"/>
          <w:kern w:val="0"/>
          <w:sz w:val="32"/>
          <w:szCs w:val="32"/>
        </w:rPr>
      </w:pPr>
      <w:r>
        <w:rPr>
          <w:rFonts w:cs="Times New Roman" w:asciiTheme="minorEastAsia" w:hAnsiTheme="minorEastAsia"/>
          <w:color w:val="3366FF"/>
          <w:kern w:val="0"/>
          <w:sz w:val="24"/>
          <w:szCs w:val="24"/>
        </w:rPr>
        <w:br w:type="page"/>
      </w:r>
      <w:r>
        <w:rPr>
          <w:rFonts w:hint="eastAsia" w:ascii="黑体" w:hAnsi="黑体" w:eastAsia="黑体" w:cs="Times New Roman"/>
          <w:kern w:val="0"/>
          <w:sz w:val="32"/>
          <w:szCs w:val="32"/>
        </w:rPr>
        <w:t>表1</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资格性和符合性审查表</w:t>
      </w:r>
    </w:p>
    <w:p>
      <w:pPr>
        <w:adjustRightInd w:val="0"/>
        <w:snapToGrid w:val="0"/>
        <w:spacing w:line="440" w:lineRule="exac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项目名称：                   </w:t>
      </w: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 xml:space="preserve">项目编号：                            </w:t>
      </w:r>
      <w:r>
        <w:rPr>
          <w:rFonts w:hint="eastAsia" w:ascii="Times New Roman" w:hAnsi="Times New Roman" w:eastAsia="宋体" w:cs="Times New Roman"/>
          <w:kern w:val="0"/>
          <w:sz w:val="24"/>
          <w:szCs w:val="24"/>
        </w:rPr>
        <w:t xml:space="preserve"> </w:t>
      </w:r>
    </w:p>
    <w:tbl>
      <w:tblPr>
        <w:tblStyle w:val="17"/>
        <w:tblW w:w="5339" w:type="pct"/>
        <w:jc w:val="center"/>
        <w:tblLayout w:type="fixed"/>
        <w:tblCellMar>
          <w:top w:w="0" w:type="dxa"/>
          <w:left w:w="108" w:type="dxa"/>
          <w:bottom w:w="0" w:type="dxa"/>
          <w:right w:w="108" w:type="dxa"/>
        </w:tblCellMar>
      </w:tblPr>
      <w:tblGrid>
        <w:gridCol w:w="9675"/>
      </w:tblGrid>
      <w:tr>
        <w:tblPrEx>
          <w:tblCellMar>
            <w:top w:w="0" w:type="dxa"/>
            <w:left w:w="108" w:type="dxa"/>
            <w:bottom w:w="0" w:type="dxa"/>
            <w:right w:w="108" w:type="dxa"/>
          </w:tblCellMar>
        </w:tblPrEx>
        <w:trPr>
          <w:trHeight w:val="454" w:hRule="exact"/>
          <w:jc w:val="center"/>
        </w:trPr>
        <w:tc>
          <w:tcPr>
            <w:tcW w:w="96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审查项目</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bCs/>
                <w:kern w:val="0"/>
                <w:szCs w:val="21"/>
              </w:rPr>
              <w:t>一、资格性审查内容</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1.工商营业执照（三证合一）（成立时间、注册资金）</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2.法定代表人资格证明书和授权书</w:t>
            </w:r>
            <w:r>
              <w:rPr>
                <w:rFonts w:hint="eastAsia" w:cs="Times New Roman" w:asciiTheme="minorEastAsia" w:hAnsiTheme="minorEastAsia"/>
                <w:kern w:val="0"/>
                <w:szCs w:val="21"/>
              </w:rPr>
              <w:t>（含法定代表人身份证复印件）</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3.主要股东或出资人信息</w:t>
            </w:r>
            <w:r>
              <w:rPr>
                <w:rFonts w:hint="eastAsia" w:cs="Times New Roman" w:asciiTheme="minorEastAsia" w:hAnsiTheme="minorEastAsia"/>
                <w:kern w:val="0"/>
                <w:szCs w:val="21"/>
              </w:rPr>
              <w:t>（含被授权人身份证复印件）</w:t>
            </w:r>
          </w:p>
        </w:tc>
      </w:tr>
      <w:tr>
        <w:tblPrEx>
          <w:tblCellMar>
            <w:top w:w="0" w:type="dxa"/>
            <w:left w:w="108" w:type="dxa"/>
            <w:bottom w:w="0" w:type="dxa"/>
            <w:right w:w="108" w:type="dxa"/>
          </w:tblCellMar>
        </w:tblPrEx>
        <w:trPr>
          <w:trHeight w:val="655"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4.最近连续6个月缴纳社会保障金的银行转账汇款单或相应证明材料</w:t>
            </w:r>
            <w:r>
              <w:rPr>
                <w:rFonts w:hint="eastAsia" w:cs="Times New Roman" w:asciiTheme="minorEastAsia" w:hAnsiTheme="minorEastAsia"/>
                <w:kern w:val="0"/>
                <w:szCs w:val="21"/>
              </w:rPr>
              <w:t>（依法不需要缴纳社会保障资金的投标人，应提供相应文件证明其不需要缴纳社会保障资金）</w:t>
            </w:r>
          </w:p>
        </w:tc>
      </w:tr>
      <w:tr>
        <w:tblPrEx>
          <w:tblCellMar>
            <w:top w:w="0" w:type="dxa"/>
            <w:left w:w="108" w:type="dxa"/>
            <w:bottom w:w="0" w:type="dxa"/>
            <w:right w:w="108" w:type="dxa"/>
          </w:tblCellMar>
        </w:tblPrEx>
        <w:trPr>
          <w:trHeight w:val="707"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5.最近连续6个月纳税的银行转账汇款单或相应证明材料</w:t>
            </w:r>
            <w:r>
              <w:rPr>
                <w:rFonts w:hint="eastAsia" w:cs="Times New Roman" w:asciiTheme="minorEastAsia" w:hAnsiTheme="minorEastAsia"/>
                <w:kern w:val="0"/>
                <w:szCs w:val="21"/>
              </w:rPr>
              <w:t>（依法免税的投标人，应提供相应文件证明其依法免税）</w:t>
            </w:r>
          </w:p>
        </w:tc>
      </w:tr>
      <w:tr>
        <w:tblPrEx>
          <w:tblCellMar>
            <w:top w:w="0" w:type="dxa"/>
            <w:left w:w="108" w:type="dxa"/>
            <w:bottom w:w="0" w:type="dxa"/>
            <w:right w:w="108" w:type="dxa"/>
          </w:tblCellMar>
        </w:tblPrEx>
        <w:trPr>
          <w:trHeight w:val="992"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6.</w:t>
            </w:r>
            <w:r>
              <w:rPr>
                <w:rFonts w:hint="eastAsia" w:cs="Times New Roman" w:asciiTheme="minorEastAsia" w:hAnsiTheme="minorEastAsia"/>
                <w:kern w:val="0"/>
                <w:szCs w:val="21"/>
              </w:rPr>
              <w:t xml:space="preserve"> 良好的商业信誉和健全的财务会计制度证明材料：会计师事务所出具的近3年（不足3年以成立日期起算）审计报告主要内容或公司财务报表，至少包含资产负债表、利润表、现金流量表</w:t>
            </w:r>
          </w:p>
        </w:tc>
      </w:tr>
      <w:tr>
        <w:tblPrEx>
          <w:tblCellMar>
            <w:top w:w="0" w:type="dxa"/>
            <w:left w:w="108" w:type="dxa"/>
            <w:bottom w:w="0" w:type="dxa"/>
            <w:right w:w="108" w:type="dxa"/>
          </w:tblCellMar>
        </w:tblPrEx>
        <w:trPr>
          <w:trHeight w:val="677"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7.</w:t>
            </w:r>
            <w:r>
              <w:rPr>
                <w:rFonts w:hint="eastAsia" w:asciiTheme="minorEastAsia" w:hAnsiTheme="minorEastAsia"/>
                <w:szCs w:val="21"/>
              </w:rPr>
              <w:t xml:space="preserve"> </w:t>
            </w:r>
            <w:r>
              <w:rPr>
                <w:rFonts w:hint="eastAsia" w:cs="Times New Roman" w:asciiTheme="minorEastAsia" w:hAnsiTheme="minorEastAsia"/>
                <w:kern w:val="0"/>
                <w:szCs w:val="21"/>
              </w:rPr>
              <w:t>相关声明书：</w:t>
            </w:r>
            <w:r>
              <w:rPr>
                <w:rFonts w:hint="eastAsia" w:cs="宋体" w:asciiTheme="minorEastAsia" w:hAnsiTheme="minorEastAsia"/>
                <w:kern w:val="0"/>
                <w:szCs w:val="21"/>
              </w:rPr>
              <w:t>非外资企业或外资控股企业的书面声明；参加本次采购活动前3年内在经营活动中没有重大违法记录的书面声明</w:t>
            </w:r>
          </w:p>
        </w:tc>
      </w:tr>
      <w:tr>
        <w:tblPrEx>
          <w:tblCellMar>
            <w:top w:w="0" w:type="dxa"/>
            <w:left w:w="108" w:type="dxa"/>
            <w:bottom w:w="0" w:type="dxa"/>
            <w:right w:w="108" w:type="dxa"/>
          </w:tblCellMar>
        </w:tblPrEx>
        <w:trPr>
          <w:trHeight w:val="44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8.</w:t>
            </w:r>
            <w:r>
              <w:rPr>
                <w:rFonts w:hint="eastAsia" w:asciiTheme="minorEastAsia" w:hAnsiTheme="minorEastAsia"/>
                <w:szCs w:val="21"/>
              </w:rPr>
              <w:t xml:space="preserve"> </w:t>
            </w:r>
            <w:r>
              <w:rPr>
                <w:rFonts w:hint="eastAsia" w:cs="宋体" w:asciiTheme="minorEastAsia" w:hAnsiTheme="minorEastAsia"/>
                <w:kern w:val="0"/>
                <w:szCs w:val="21"/>
              </w:rPr>
              <w:t>医疗器械经营许可证或二类备案凭证</w:t>
            </w:r>
            <w:r>
              <w:rPr>
                <w:rFonts w:hint="eastAsia" w:cs="Times New Roman" w:asciiTheme="minorEastAsia" w:hAnsiTheme="minorEastAsia"/>
                <w:kern w:val="0"/>
                <w:szCs w:val="21"/>
              </w:rPr>
              <w:t>（需具备投标产品经营资格；所投产品不属于医疗器械的无需提供)</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9. 生产企业营业执照（进口产品需提供国内总代理营业执照）</w:t>
            </w:r>
          </w:p>
        </w:tc>
      </w:tr>
      <w:tr>
        <w:tblPrEx>
          <w:tblCellMar>
            <w:top w:w="0" w:type="dxa"/>
            <w:left w:w="108" w:type="dxa"/>
            <w:bottom w:w="0" w:type="dxa"/>
            <w:right w:w="108" w:type="dxa"/>
          </w:tblCellMar>
        </w:tblPrEx>
        <w:trPr>
          <w:trHeight w:val="669" w:hRule="exact"/>
          <w:jc w:val="center"/>
        </w:trPr>
        <w:tc>
          <w:tcPr>
            <w:tcW w:w="9675" w:type="dxa"/>
            <w:tcBorders>
              <w:top w:val="nil"/>
              <w:left w:val="single" w:color="auto" w:sz="4" w:space="0"/>
              <w:bottom w:val="single" w:color="auto" w:sz="4" w:space="0"/>
              <w:right w:val="single" w:color="auto" w:sz="4" w:space="0"/>
            </w:tcBorders>
            <w:vAlign w:val="center"/>
          </w:tcPr>
          <w:p>
            <w:pPr>
              <w:adjustRightInd w:val="0"/>
              <w:snapToGrid w:val="0"/>
              <w:spacing w:line="320" w:lineRule="atLeast"/>
              <w:rPr>
                <w:rFonts w:cs="Times New Roman" w:asciiTheme="minorEastAsia" w:hAnsiTheme="minorEastAsia"/>
                <w:kern w:val="0"/>
                <w:szCs w:val="21"/>
              </w:rPr>
            </w:pPr>
            <w:r>
              <w:rPr>
                <w:rFonts w:hint="eastAsia" w:cs="宋体" w:asciiTheme="minorEastAsia" w:hAnsiTheme="minorEastAsia"/>
                <w:kern w:val="0"/>
                <w:szCs w:val="21"/>
              </w:rPr>
              <w:t>10.</w:t>
            </w:r>
            <w:r>
              <w:rPr>
                <w:rFonts w:hint="eastAsia" w:asciiTheme="minorEastAsia" w:hAnsiTheme="minorEastAsia"/>
                <w:szCs w:val="21"/>
              </w:rPr>
              <w:t xml:space="preserve"> </w:t>
            </w:r>
            <w:r>
              <w:rPr>
                <w:rFonts w:hint="eastAsia" w:cs="宋体" w:asciiTheme="minorEastAsia" w:hAnsiTheme="minorEastAsia"/>
                <w:kern w:val="0"/>
                <w:szCs w:val="21"/>
              </w:rPr>
              <w:t>生产企业《医疗器械生产许可证》</w:t>
            </w:r>
            <w:r>
              <w:rPr>
                <w:rFonts w:hint="eastAsia" w:cs="Times New Roman" w:asciiTheme="minorEastAsia" w:hAnsiTheme="minorEastAsia"/>
                <w:kern w:val="0"/>
                <w:szCs w:val="21"/>
              </w:rPr>
              <w:t>（需具备投标产品生产资格，进口产品提供国内总代理相关经营许可证；所投产品不属于医疗器械的无需提供）</w:t>
            </w:r>
          </w:p>
          <w:p>
            <w:pPr>
              <w:widowControl/>
              <w:adjustRightInd w:val="0"/>
              <w:snapToGrid w:val="0"/>
              <w:spacing w:line="320" w:lineRule="atLeast"/>
              <w:rPr>
                <w:rFonts w:cs="宋体" w:asciiTheme="minorEastAsia" w:hAnsiTheme="minorEastAsia"/>
                <w:kern w:val="0"/>
                <w:szCs w:val="21"/>
              </w:rPr>
            </w:pP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11.</w:t>
            </w:r>
            <w:r>
              <w:rPr>
                <w:rFonts w:hint="eastAsia" w:asciiTheme="minorEastAsia" w:hAnsiTheme="minorEastAsia"/>
                <w:szCs w:val="21"/>
              </w:rPr>
              <w:t xml:space="preserve"> </w:t>
            </w:r>
            <w:r>
              <w:rPr>
                <w:rFonts w:hint="eastAsia" w:cs="宋体" w:asciiTheme="minorEastAsia" w:hAnsiTheme="minorEastAsia"/>
                <w:kern w:val="0"/>
                <w:szCs w:val="21"/>
              </w:rPr>
              <w:t>投标产品《医疗器械产品注册证》</w:t>
            </w:r>
            <w:r>
              <w:rPr>
                <w:rFonts w:hint="eastAsia" w:cs="Times New Roman" w:asciiTheme="minorEastAsia" w:hAnsiTheme="minorEastAsia"/>
                <w:kern w:val="0"/>
                <w:szCs w:val="21"/>
              </w:rPr>
              <w:t>（所投产品不属于医疗器械的无需提供）</w:t>
            </w:r>
          </w:p>
        </w:tc>
      </w:tr>
      <w:tr>
        <w:tblPrEx>
          <w:tblCellMar>
            <w:top w:w="0" w:type="dxa"/>
            <w:left w:w="108" w:type="dxa"/>
            <w:bottom w:w="0" w:type="dxa"/>
            <w:right w:w="108" w:type="dxa"/>
          </w:tblCellMar>
        </w:tblPrEx>
        <w:trPr>
          <w:trHeight w:val="689" w:hRule="exact"/>
          <w:jc w:val="center"/>
        </w:trPr>
        <w:tc>
          <w:tcPr>
            <w:tcW w:w="9675" w:type="dxa"/>
            <w:tcBorders>
              <w:top w:val="nil"/>
              <w:left w:val="single" w:color="auto" w:sz="4" w:space="0"/>
              <w:bottom w:val="single" w:color="auto" w:sz="4" w:space="0"/>
              <w:right w:val="single" w:color="auto" w:sz="4" w:space="0"/>
            </w:tcBorders>
            <w:vAlign w:val="center"/>
          </w:tcPr>
          <w:p>
            <w:pPr>
              <w:adjustRightInd w:val="0"/>
              <w:snapToGrid w:val="0"/>
              <w:spacing w:line="320" w:lineRule="atLeast"/>
              <w:rPr>
                <w:rFonts w:cs="Times New Roman" w:asciiTheme="minorEastAsia" w:hAnsiTheme="minorEastAsia"/>
                <w:kern w:val="0"/>
                <w:szCs w:val="21"/>
              </w:rPr>
            </w:pPr>
            <w:r>
              <w:rPr>
                <w:rFonts w:hint="eastAsia" w:cs="宋体" w:asciiTheme="minorEastAsia" w:hAnsiTheme="minorEastAsia"/>
                <w:kern w:val="0"/>
                <w:szCs w:val="21"/>
              </w:rPr>
              <w:t>12.</w:t>
            </w:r>
            <w:r>
              <w:rPr>
                <w:rFonts w:hint="eastAsia" w:asciiTheme="minorEastAsia" w:hAnsiTheme="minorEastAsia"/>
                <w:szCs w:val="21"/>
              </w:rPr>
              <w:t xml:space="preserve"> </w:t>
            </w:r>
            <w:r>
              <w:rPr>
                <w:rFonts w:hint="eastAsia" w:cs="宋体" w:asciiTheme="minorEastAsia" w:hAnsiTheme="minorEastAsia"/>
                <w:kern w:val="0"/>
                <w:szCs w:val="21"/>
              </w:rPr>
              <w:t>生产企业对代理公司投标授权书</w:t>
            </w:r>
            <w:r>
              <w:rPr>
                <w:rFonts w:hint="eastAsia" w:cs="Times New Roman" w:asciiTheme="minorEastAsia" w:hAnsiTheme="minorEastAsia"/>
                <w:kern w:val="0"/>
                <w:szCs w:val="21"/>
              </w:rPr>
              <w:t>（进口产品需提供原产厂家对中国总代的中英文授权书复印件或同步翻译件）</w:t>
            </w:r>
          </w:p>
          <w:p>
            <w:pPr>
              <w:widowControl/>
              <w:adjustRightInd w:val="0"/>
              <w:snapToGrid w:val="0"/>
              <w:spacing w:line="320" w:lineRule="atLeast"/>
              <w:rPr>
                <w:rFonts w:cs="宋体" w:asciiTheme="minorEastAsia" w:hAnsiTheme="minorEastAsia"/>
                <w:kern w:val="0"/>
                <w:szCs w:val="21"/>
              </w:rPr>
            </w:pP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13.保密承诺书及廉洁诚信承诺书</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二、符合性审查内容</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1.投标书、资格证明文件密封完好</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2.投标文件签署、盖章齐全完整</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3.投标文件组成齐全完整</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4.投标文件有效期满足招标文件要求</w:t>
            </w:r>
          </w:p>
        </w:tc>
      </w:tr>
      <w:tr>
        <w:tblPrEx>
          <w:tblCellMar>
            <w:top w:w="0" w:type="dxa"/>
            <w:left w:w="108" w:type="dxa"/>
            <w:bottom w:w="0" w:type="dxa"/>
            <w:right w:w="108" w:type="dxa"/>
          </w:tblCellMar>
        </w:tblPrEx>
        <w:trPr>
          <w:trHeight w:val="454" w:hRule="exact"/>
          <w:jc w:val="center"/>
        </w:trPr>
        <w:tc>
          <w:tcPr>
            <w:tcW w:w="9675" w:type="dxa"/>
            <w:tcBorders>
              <w:top w:val="single" w:color="auto" w:sz="4" w:space="0"/>
              <w:left w:val="single" w:color="auto" w:sz="4" w:space="0"/>
              <w:bottom w:val="single" w:color="auto" w:sz="4" w:space="0"/>
              <w:right w:val="single" w:color="000000" w:sz="4" w:space="0"/>
            </w:tcBorders>
            <w:noWrap/>
            <w:vAlign w:val="center"/>
          </w:tcPr>
          <w:p>
            <w:pPr>
              <w:widowControl/>
              <w:adjustRightInd w:val="0"/>
              <w:snapToGrid w:val="0"/>
              <w:spacing w:line="320" w:lineRule="atLeast"/>
              <w:rPr>
                <w:rFonts w:cs="宋体" w:asciiTheme="minorEastAsia" w:hAnsiTheme="minorEastAsia"/>
                <w:b/>
                <w:kern w:val="0"/>
                <w:szCs w:val="21"/>
              </w:rPr>
            </w:pPr>
            <w:r>
              <w:rPr>
                <w:rFonts w:hint="eastAsia" w:cs="宋体" w:asciiTheme="minorEastAsia" w:hAnsiTheme="minorEastAsia"/>
                <w:b/>
                <w:kern w:val="0"/>
                <w:szCs w:val="21"/>
              </w:rPr>
              <w:t>说明：以上资格性和符合性要求均需满足，若有一条不满足，则为无效投标。</w:t>
            </w:r>
          </w:p>
        </w:tc>
      </w:tr>
    </w:tbl>
    <w:p>
      <w:pPr>
        <w:adjustRightInd w:val="0"/>
        <w:snapToGrid w:val="0"/>
        <w:spacing w:line="440" w:lineRule="exact"/>
        <w:rPr>
          <w:rFonts w:ascii="黑体" w:hAnsi="黑体" w:eastAsia="黑体" w:cs="Times New Roman"/>
          <w:kern w:val="0"/>
          <w:sz w:val="32"/>
          <w:szCs w:val="32"/>
        </w:rPr>
      </w:pPr>
      <w:r>
        <w:rPr>
          <w:rFonts w:hint="eastAsia" w:ascii="黑体" w:hAnsi="黑体" w:eastAsia="黑体" w:cs="Times New Roman"/>
          <w:kern w:val="0"/>
          <w:sz w:val="32"/>
          <w:szCs w:val="32"/>
        </w:rPr>
        <w:t>表2</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评审标准表</w:t>
      </w:r>
    </w:p>
    <w:tbl>
      <w:tblPr>
        <w:tblStyle w:val="18"/>
        <w:tblW w:w="9356"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8"/>
        <w:gridCol w:w="852"/>
        <w:gridCol w:w="142"/>
        <w:gridCol w:w="6946"/>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708"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序号</w:t>
            </w:r>
          </w:p>
        </w:tc>
        <w:tc>
          <w:tcPr>
            <w:tcW w:w="852"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评审</w:t>
            </w:r>
            <w:r>
              <w:rPr>
                <w:rFonts w:hint="eastAsia" w:eastAsia="宋体" w:cs="Times New Roman" w:asciiTheme="minorEastAsia" w:hAnsiTheme="minorEastAsia"/>
                <w:kern w:val="0"/>
                <w:szCs w:val="21"/>
              </w:rPr>
              <w:br w:type="textWrapping"/>
            </w:r>
            <w:r>
              <w:rPr>
                <w:rFonts w:hint="eastAsia" w:eastAsia="宋体" w:cs="Times New Roman" w:asciiTheme="minorEastAsia" w:hAnsiTheme="minorEastAsia"/>
                <w:kern w:val="0"/>
                <w:szCs w:val="21"/>
              </w:rPr>
              <w:t>项目</w:t>
            </w:r>
          </w:p>
        </w:tc>
        <w:tc>
          <w:tcPr>
            <w:tcW w:w="7088" w:type="dxa"/>
            <w:gridSpan w:val="2"/>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评审内容及规则</w:t>
            </w:r>
          </w:p>
        </w:tc>
        <w:tc>
          <w:tcPr>
            <w:tcW w:w="708"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标准</w:t>
            </w:r>
            <w:r>
              <w:rPr>
                <w:rFonts w:hint="eastAsia" w:eastAsia="宋体" w:cs="Times New Roman" w:asciiTheme="minorEastAsia" w:hAnsiTheme="minorEastAsia"/>
                <w:kern w:val="0"/>
                <w:szCs w:val="21"/>
              </w:rPr>
              <w:br w:type="textWrapping"/>
            </w:r>
            <w:r>
              <w:rPr>
                <w:rFonts w:hint="eastAsia" w:eastAsia="宋体" w:cs="Times New Roman" w:asciiTheme="minorEastAsia" w:hAnsiTheme="minorEastAsia"/>
                <w:kern w:val="0"/>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trPr>
        <w:tc>
          <w:tcPr>
            <w:tcW w:w="8648" w:type="dxa"/>
            <w:gridSpan w:val="4"/>
          </w:tcPr>
          <w:p>
            <w:pPr>
              <w:spacing w:line="440" w:lineRule="exact"/>
              <w:jc w:val="center"/>
              <w:rPr>
                <w:rFonts w:eastAsia="宋体" w:cs="Times New Roman" w:asciiTheme="minorEastAsia" w:hAnsiTheme="minorEastAsia"/>
                <w:b/>
                <w:bCs/>
                <w:kern w:val="0"/>
                <w:szCs w:val="21"/>
              </w:rPr>
            </w:pPr>
            <w:r>
              <w:rPr>
                <w:rFonts w:hint="eastAsia" w:eastAsia="宋体" w:cs="Times New Roman" w:asciiTheme="minorEastAsia" w:hAnsiTheme="minorEastAsia"/>
                <w:b/>
                <w:bCs/>
                <w:kern w:val="0"/>
                <w:szCs w:val="21"/>
              </w:rPr>
              <w:t>商务评审</w:t>
            </w:r>
          </w:p>
        </w:tc>
        <w:tc>
          <w:tcPr>
            <w:tcW w:w="708" w:type="dxa"/>
            <w:vAlign w:val="center"/>
          </w:tcPr>
          <w:p>
            <w:pPr>
              <w:spacing w:line="440" w:lineRule="exact"/>
              <w:jc w:val="center"/>
              <w:rPr>
                <w:rFonts w:eastAsia="宋体" w:cs="Times New Roman" w:asciiTheme="minorEastAsia" w:hAnsiTheme="minorEastAsia"/>
                <w:b/>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7" w:hRule="atLeast"/>
        </w:trPr>
        <w:tc>
          <w:tcPr>
            <w:tcW w:w="708"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一</w:t>
            </w:r>
          </w:p>
        </w:tc>
        <w:tc>
          <w:tcPr>
            <w:tcW w:w="852"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价  格</w:t>
            </w:r>
          </w:p>
        </w:tc>
        <w:tc>
          <w:tcPr>
            <w:tcW w:w="7088" w:type="dxa"/>
            <w:gridSpan w:val="2"/>
          </w:tcPr>
          <w:p>
            <w:pPr>
              <w:spacing w:line="440" w:lineRule="exact"/>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满足招标文件要求且报价最低的为评审基准价</w:t>
            </w:r>
            <w:r>
              <w:rPr>
                <w:rFonts w:hint="eastAsia" w:cs="Times New Roman" w:asciiTheme="majorEastAsia" w:hAnsiTheme="majorEastAsia" w:eastAsiaTheme="majorEastAsia"/>
                <w:kern w:val="0"/>
                <w:szCs w:val="21"/>
              </w:rPr>
              <w:br w:type="textWrapping"/>
            </w:r>
            <w:r>
              <w:rPr>
                <w:rFonts w:hint="eastAsia" w:cs="Times New Roman" w:asciiTheme="majorEastAsia" w:hAnsiTheme="majorEastAsia" w:eastAsiaTheme="majorEastAsia"/>
                <w:kern w:val="0"/>
                <w:szCs w:val="21"/>
              </w:rPr>
              <w:t>价格得分=（评审基准价/报价）×标准分值</w:t>
            </w:r>
          </w:p>
        </w:tc>
        <w:tc>
          <w:tcPr>
            <w:tcW w:w="708"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3" w:hRule="atLeast"/>
        </w:trPr>
        <w:tc>
          <w:tcPr>
            <w:tcW w:w="708"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二</w:t>
            </w:r>
          </w:p>
        </w:tc>
        <w:tc>
          <w:tcPr>
            <w:tcW w:w="852"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产品</w:t>
            </w:r>
          </w:p>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业绩</w:t>
            </w:r>
          </w:p>
        </w:tc>
        <w:tc>
          <w:tcPr>
            <w:tcW w:w="7088" w:type="dxa"/>
            <w:gridSpan w:val="2"/>
          </w:tcPr>
          <w:p>
            <w:pPr>
              <w:spacing w:line="440" w:lineRule="exact"/>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比较近三年（截止开标时间）所投产品在</w:t>
            </w:r>
            <w:r>
              <w:rPr>
                <w:rFonts w:hint="eastAsia" w:ascii="宋体" w:hAnsi="宋体" w:eastAsia="宋体" w:cs="Times New Roman"/>
                <w:b/>
                <w:bCs/>
                <w:kern w:val="0"/>
                <w:szCs w:val="21"/>
              </w:rPr>
              <w:t>三甲医院或高等科研院所</w:t>
            </w:r>
            <w:r>
              <w:rPr>
                <w:rFonts w:hint="eastAsia" w:cs="Times New Roman" w:asciiTheme="majorEastAsia" w:hAnsiTheme="majorEastAsia" w:eastAsiaTheme="majorEastAsia"/>
                <w:kern w:val="0"/>
                <w:szCs w:val="21"/>
              </w:rPr>
              <w:t>的销售业绩。以提供的销售合同复印件为准，未盖章或盖章不清晰、总金额或数量不清晰的合同无效。</w:t>
            </w:r>
            <w:r>
              <w:rPr>
                <w:rFonts w:hint="eastAsia" w:cs="Times New Roman" w:asciiTheme="majorEastAsia" w:hAnsiTheme="majorEastAsia" w:eastAsiaTheme="majorEastAsia"/>
                <w:kern w:val="0"/>
                <w:szCs w:val="21"/>
              </w:rPr>
              <w:br w:type="textWrapping"/>
            </w:r>
            <w:r>
              <w:rPr>
                <w:rFonts w:hint="eastAsia" w:cs="Times New Roman" w:asciiTheme="majorEastAsia" w:hAnsiTheme="majorEastAsia" w:eastAsiaTheme="majorEastAsia"/>
                <w:kern w:val="0"/>
                <w:szCs w:val="21"/>
              </w:rPr>
              <w:t>业绩得分=（所投产品业绩/基准业绩）×标准分值</w:t>
            </w:r>
            <w:r>
              <w:rPr>
                <w:rFonts w:hint="eastAsia" w:cs="Times New Roman" w:asciiTheme="majorEastAsia" w:hAnsiTheme="majorEastAsia" w:eastAsiaTheme="majorEastAsia"/>
                <w:kern w:val="0"/>
                <w:szCs w:val="21"/>
              </w:rPr>
              <w:br w:type="textWrapping"/>
            </w:r>
            <w:r>
              <w:rPr>
                <w:rFonts w:hint="eastAsia" w:cs="Times New Roman" w:asciiTheme="majorEastAsia" w:hAnsiTheme="majorEastAsia" w:eastAsiaTheme="majorEastAsia"/>
                <w:kern w:val="0"/>
                <w:szCs w:val="21"/>
              </w:rPr>
              <w:t>基准业绩=近三年（截止开标时间）所投产品有效合同累计销售最高数量（以有效合同份数计算）</w:t>
            </w:r>
          </w:p>
        </w:tc>
        <w:tc>
          <w:tcPr>
            <w:tcW w:w="708"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4" w:hRule="atLeast"/>
        </w:trPr>
        <w:tc>
          <w:tcPr>
            <w:tcW w:w="708" w:type="dxa"/>
            <w:vMerge w:val="restart"/>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三</w:t>
            </w:r>
          </w:p>
        </w:tc>
        <w:tc>
          <w:tcPr>
            <w:tcW w:w="852" w:type="dxa"/>
            <w:vMerge w:val="restart"/>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企业</w:t>
            </w:r>
          </w:p>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规模</w:t>
            </w:r>
          </w:p>
        </w:tc>
        <w:tc>
          <w:tcPr>
            <w:tcW w:w="7088" w:type="dxa"/>
            <w:gridSpan w:val="2"/>
            <w:noWrap/>
          </w:tcPr>
          <w:p>
            <w:pPr>
              <w:spacing w:line="440" w:lineRule="exact"/>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1.根据报价方近三年平均资产总额进行评分，第一名得1分，依次递减0.2分。（以第三方会计师事务所出具的近3年的财务审计报告中显示的数据为准）</w:t>
            </w:r>
          </w:p>
        </w:tc>
        <w:tc>
          <w:tcPr>
            <w:tcW w:w="708"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trPr>
        <w:tc>
          <w:tcPr>
            <w:tcW w:w="708" w:type="dxa"/>
            <w:vMerge w:val="continue"/>
            <w:vAlign w:val="center"/>
          </w:tcPr>
          <w:p>
            <w:pPr>
              <w:spacing w:line="440" w:lineRule="exact"/>
              <w:jc w:val="center"/>
              <w:rPr>
                <w:rFonts w:eastAsia="宋体" w:cs="Times New Roman" w:asciiTheme="minorEastAsia" w:hAnsiTheme="minorEastAsia"/>
                <w:kern w:val="0"/>
                <w:szCs w:val="21"/>
              </w:rPr>
            </w:pPr>
          </w:p>
        </w:tc>
        <w:tc>
          <w:tcPr>
            <w:tcW w:w="852" w:type="dxa"/>
            <w:vMerge w:val="continue"/>
            <w:vAlign w:val="center"/>
          </w:tcPr>
          <w:p>
            <w:pPr>
              <w:spacing w:line="440" w:lineRule="exact"/>
              <w:jc w:val="center"/>
              <w:rPr>
                <w:rFonts w:eastAsia="宋体" w:cs="Times New Roman" w:asciiTheme="minorEastAsia" w:hAnsiTheme="minorEastAsia"/>
                <w:kern w:val="0"/>
                <w:szCs w:val="21"/>
              </w:rPr>
            </w:pPr>
          </w:p>
        </w:tc>
        <w:tc>
          <w:tcPr>
            <w:tcW w:w="7088" w:type="dxa"/>
            <w:gridSpan w:val="2"/>
            <w:noWrap/>
          </w:tcPr>
          <w:p>
            <w:pPr>
              <w:spacing w:line="440" w:lineRule="exact"/>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2.根据报价方近三年缴纳社保</w:t>
            </w:r>
            <w:r>
              <w:rPr>
                <w:rFonts w:hint="eastAsia" w:cs="Times New Roman" w:asciiTheme="majorEastAsia" w:hAnsiTheme="majorEastAsia" w:eastAsiaTheme="majorEastAsia"/>
                <w:b/>
                <w:kern w:val="0"/>
                <w:szCs w:val="21"/>
                <w:u w:val="single"/>
              </w:rPr>
              <w:t>总金额</w:t>
            </w:r>
            <w:r>
              <w:rPr>
                <w:rFonts w:hint="eastAsia" w:cs="Times New Roman" w:asciiTheme="majorEastAsia" w:hAnsiTheme="majorEastAsia" w:eastAsiaTheme="majorEastAsia"/>
                <w:kern w:val="0"/>
                <w:szCs w:val="21"/>
              </w:rPr>
              <w:t>由大至小排名，第一名得1分，依次递减0.2分。</w:t>
            </w:r>
          </w:p>
        </w:tc>
        <w:tc>
          <w:tcPr>
            <w:tcW w:w="708"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restart"/>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四</w:t>
            </w:r>
          </w:p>
        </w:tc>
        <w:tc>
          <w:tcPr>
            <w:tcW w:w="852" w:type="dxa"/>
            <w:vMerge w:val="restart"/>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信  誉</w:t>
            </w:r>
          </w:p>
        </w:tc>
        <w:tc>
          <w:tcPr>
            <w:tcW w:w="7088" w:type="dxa"/>
            <w:gridSpan w:val="2"/>
            <w:noWrap/>
          </w:tcPr>
          <w:p>
            <w:pPr>
              <w:spacing w:line="440" w:lineRule="exact"/>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1.报价方近两年连续获得税务部门颁发的企业纳税信用</w:t>
            </w:r>
            <w:r>
              <w:rPr>
                <w:rFonts w:hint="eastAsia" w:cs="Times New Roman" w:asciiTheme="majorEastAsia" w:hAnsiTheme="majorEastAsia" w:eastAsiaTheme="majorEastAsia"/>
                <w:b/>
                <w:kern w:val="0"/>
                <w:szCs w:val="21"/>
                <w:u w:val="single"/>
              </w:rPr>
              <w:t>A级</w:t>
            </w:r>
            <w:r>
              <w:rPr>
                <w:rFonts w:hint="eastAsia" w:cs="Times New Roman" w:asciiTheme="majorEastAsia" w:hAnsiTheme="majorEastAsia" w:eastAsiaTheme="majorEastAsia"/>
                <w:kern w:val="0"/>
                <w:szCs w:val="21"/>
              </w:rPr>
              <w:t>评价证书的得0.5分，其他得0分。</w:t>
            </w:r>
          </w:p>
        </w:tc>
        <w:tc>
          <w:tcPr>
            <w:tcW w:w="708"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continue"/>
            <w:vAlign w:val="center"/>
          </w:tcPr>
          <w:p>
            <w:pPr>
              <w:spacing w:line="440" w:lineRule="exact"/>
              <w:jc w:val="center"/>
              <w:rPr>
                <w:rFonts w:eastAsia="宋体" w:cs="Times New Roman" w:asciiTheme="minorEastAsia" w:hAnsiTheme="minorEastAsia"/>
                <w:kern w:val="0"/>
                <w:szCs w:val="21"/>
              </w:rPr>
            </w:pPr>
          </w:p>
        </w:tc>
        <w:tc>
          <w:tcPr>
            <w:tcW w:w="852" w:type="dxa"/>
            <w:vMerge w:val="continue"/>
            <w:vAlign w:val="center"/>
          </w:tcPr>
          <w:p>
            <w:pPr>
              <w:spacing w:line="440" w:lineRule="exact"/>
              <w:jc w:val="center"/>
              <w:rPr>
                <w:rFonts w:eastAsia="宋体" w:cs="Times New Roman" w:asciiTheme="minorEastAsia" w:hAnsiTheme="minorEastAsia"/>
                <w:kern w:val="0"/>
                <w:szCs w:val="21"/>
              </w:rPr>
            </w:pPr>
          </w:p>
        </w:tc>
        <w:tc>
          <w:tcPr>
            <w:tcW w:w="7088" w:type="dxa"/>
            <w:gridSpan w:val="2"/>
            <w:noWrap/>
          </w:tcPr>
          <w:p>
            <w:pPr>
              <w:spacing w:line="440" w:lineRule="exact"/>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2.报价方近一年获得银行颁发的资信（信用）</w:t>
            </w:r>
            <w:r>
              <w:rPr>
                <w:rFonts w:hint="eastAsia" w:cs="Times New Roman" w:asciiTheme="majorEastAsia" w:hAnsiTheme="majorEastAsia" w:eastAsiaTheme="majorEastAsia"/>
                <w:b/>
                <w:kern w:val="0"/>
                <w:szCs w:val="21"/>
                <w:u w:val="single"/>
              </w:rPr>
              <w:t>等级</w:t>
            </w:r>
            <w:r>
              <w:rPr>
                <w:rFonts w:hint="eastAsia" w:cs="Times New Roman" w:asciiTheme="majorEastAsia" w:hAnsiTheme="majorEastAsia" w:eastAsiaTheme="majorEastAsia"/>
                <w:kern w:val="0"/>
                <w:szCs w:val="21"/>
              </w:rPr>
              <w:t>证明，级别最高的得0.5分，其他得0分。</w:t>
            </w:r>
          </w:p>
        </w:tc>
        <w:tc>
          <w:tcPr>
            <w:tcW w:w="708"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708"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五</w:t>
            </w:r>
          </w:p>
        </w:tc>
        <w:tc>
          <w:tcPr>
            <w:tcW w:w="852"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财务</w:t>
            </w:r>
          </w:p>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状况</w:t>
            </w:r>
          </w:p>
        </w:tc>
        <w:tc>
          <w:tcPr>
            <w:tcW w:w="7088" w:type="dxa"/>
            <w:gridSpan w:val="2"/>
          </w:tcPr>
          <w:p>
            <w:pPr>
              <w:spacing w:line="440" w:lineRule="exact"/>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trPr>
        <w:tc>
          <w:tcPr>
            <w:tcW w:w="708"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六</w:t>
            </w:r>
          </w:p>
        </w:tc>
        <w:tc>
          <w:tcPr>
            <w:tcW w:w="852"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报价方</w:t>
            </w:r>
            <w:r>
              <w:rPr>
                <w:rFonts w:hint="eastAsia" w:eastAsia="宋体" w:cs="Times New Roman" w:asciiTheme="minorEastAsia" w:hAnsiTheme="minorEastAsia"/>
                <w:kern w:val="0"/>
                <w:szCs w:val="21"/>
              </w:rPr>
              <w:br w:type="textWrapping"/>
            </w:r>
            <w:r>
              <w:rPr>
                <w:rFonts w:hint="eastAsia" w:eastAsia="宋体" w:cs="Times New Roman" w:asciiTheme="minorEastAsia" w:hAnsiTheme="minorEastAsia"/>
                <w:kern w:val="0"/>
                <w:szCs w:val="21"/>
              </w:rPr>
              <w:t>性质</w:t>
            </w:r>
          </w:p>
        </w:tc>
        <w:tc>
          <w:tcPr>
            <w:tcW w:w="7088" w:type="dxa"/>
            <w:gridSpan w:val="2"/>
            <w:noWrap/>
          </w:tcPr>
          <w:p>
            <w:pPr>
              <w:spacing w:line="440" w:lineRule="exact"/>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报价方是</w:t>
            </w:r>
            <w:r>
              <w:rPr>
                <w:rFonts w:hint="eastAsia" w:cs="Times New Roman" w:asciiTheme="majorEastAsia" w:hAnsiTheme="majorEastAsia" w:eastAsiaTheme="majorEastAsia"/>
                <w:b/>
                <w:kern w:val="0"/>
                <w:szCs w:val="21"/>
                <w:u w:val="single"/>
              </w:rPr>
              <w:t>生产企业或进口产品全国（大区）总代理</w:t>
            </w:r>
            <w:r>
              <w:rPr>
                <w:rFonts w:hint="eastAsia" w:cs="Times New Roman" w:asciiTheme="majorEastAsia" w:hAnsiTheme="majorEastAsia" w:eastAsiaTheme="majorEastAsia"/>
                <w:kern w:val="0"/>
                <w:szCs w:val="21"/>
              </w:rPr>
              <w:t>的得标准分值，不是的得0分。</w:t>
            </w:r>
          </w:p>
        </w:tc>
        <w:tc>
          <w:tcPr>
            <w:tcW w:w="708"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8648" w:type="dxa"/>
            <w:gridSpan w:val="4"/>
            <w:vAlign w:val="center"/>
          </w:tcPr>
          <w:p>
            <w:pPr>
              <w:spacing w:line="440" w:lineRule="exact"/>
              <w:jc w:val="center"/>
              <w:rPr>
                <w:rFonts w:cs="Times New Roman" w:asciiTheme="majorEastAsia" w:hAnsiTheme="majorEastAsia" w:eastAsiaTheme="majorEastAsia"/>
                <w:b/>
                <w:bCs/>
                <w:kern w:val="0"/>
                <w:szCs w:val="21"/>
              </w:rPr>
            </w:pPr>
            <w:r>
              <w:rPr>
                <w:rFonts w:hint="eastAsia" w:cs="Times New Roman" w:asciiTheme="majorEastAsia" w:hAnsiTheme="majorEastAsia" w:eastAsiaTheme="majorEastAsia"/>
                <w:b/>
                <w:bCs/>
                <w:kern w:val="0"/>
                <w:szCs w:val="21"/>
              </w:rPr>
              <w:t>技术评审</w:t>
            </w:r>
          </w:p>
        </w:tc>
        <w:tc>
          <w:tcPr>
            <w:tcW w:w="708" w:type="dxa"/>
            <w:vAlign w:val="center"/>
          </w:tcPr>
          <w:p>
            <w:pPr>
              <w:spacing w:line="440" w:lineRule="exact"/>
              <w:jc w:val="center"/>
              <w:rPr>
                <w:rFonts w:eastAsia="宋体" w:cs="Times New Roman" w:asciiTheme="minorEastAsia" w:hAnsiTheme="minorEastAsia"/>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restart"/>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一</w:t>
            </w:r>
          </w:p>
        </w:tc>
        <w:tc>
          <w:tcPr>
            <w:tcW w:w="994" w:type="dxa"/>
            <w:gridSpan w:val="2"/>
            <w:vMerge w:val="restart"/>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技术</w:t>
            </w:r>
            <w:r>
              <w:rPr>
                <w:rFonts w:hint="eastAsia" w:eastAsia="宋体" w:cs="Times New Roman" w:asciiTheme="minorEastAsia" w:hAnsiTheme="minorEastAsia"/>
                <w:kern w:val="0"/>
                <w:szCs w:val="21"/>
              </w:rPr>
              <w:br w:type="textWrapping"/>
            </w:r>
            <w:r>
              <w:rPr>
                <w:rFonts w:hint="eastAsia" w:eastAsia="宋体" w:cs="Times New Roman" w:asciiTheme="minorEastAsia" w:hAnsiTheme="minorEastAsia"/>
                <w:kern w:val="0"/>
                <w:szCs w:val="21"/>
              </w:rPr>
              <w:t>力量</w:t>
            </w:r>
          </w:p>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（7分）</w:t>
            </w:r>
          </w:p>
        </w:tc>
        <w:tc>
          <w:tcPr>
            <w:tcW w:w="6946" w:type="dxa"/>
            <w:noWrap/>
          </w:tcPr>
          <w:p>
            <w:pPr>
              <w:spacing w:line="440" w:lineRule="exact"/>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1.提供所投产品技术专利证书（不包括外观专利）的1项得0.1分，最多得标准分值。</w:t>
            </w:r>
          </w:p>
        </w:tc>
        <w:tc>
          <w:tcPr>
            <w:tcW w:w="708"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Cs w:val="21"/>
              </w:rPr>
            </w:pPr>
          </w:p>
        </w:tc>
        <w:tc>
          <w:tcPr>
            <w:tcW w:w="6946" w:type="dxa"/>
            <w:noWrap/>
          </w:tcPr>
          <w:p>
            <w:pPr>
              <w:spacing w:line="440" w:lineRule="exact"/>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2.所投产品具有CE认证的得标准分，没有得0分。</w:t>
            </w:r>
          </w:p>
        </w:tc>
        <w:tc>
          <w:tcPr>
            <w:tcW w:w="708"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Cs w:val="21"/>
              </w:rPr>
            </w:pPr>
          </w:p>
        </w:tc>
        <w:tc>
          <w:tcPr>
            <w:tcW w:w="6946" w:type="dxa"/>
            <w:noWrap/>
          </w:tcPr>
          <w:p>
            <w:pPr>
              <w:spacing w:line="440" w:lineRule="exact"/>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3.所投产品具有FDA认证的得标准分，没有得0分。</w:t>
            </w:r>
          </w:p>
        </w:tc>
        <w:tc>
          <w:tcPr>
            <w:tcW w:w="708"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eastAsia="宋体" w:cs="Times New Roman" w:asciiTheme="minorEastAsia" w:hAnsiTheme="minorEastAsia"/>
                <w:kern w:val="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Cs w:val="21"/>
              </w:rPr>
            </w:pPr>
          </w:p>
        </w:tc>
        <w:tc>
          <w:tcPr>
            <w:tcW w:w="6946" w:type="dxa"/>
          </w:tcPr>
          <w:p>
            <w:pPr>
              <w:spacing w:line="440" w:lineRule="exact"/>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4.所投产品的同种产品投放市场时间最早的得标准分值，依次递减0.2分。（以生产企业生产该种产品首次获得的CFDA医疗器械注册证有效期起始时间为准。提供证明材料）</w:t>
            </w:r>
          </w:p>
        </w:tc>
        <w:tc>
          <w:tcPr>
            <w:tcW w:w="708"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eastAsia="宋体" w:cs="Times New Roman" w:asciiTheme="minorEastAsia" w:hAnsiTheme="minorEastAsia"/>
                <w:kern w:val="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Cs w:val="21"/>
              </w:rPr>
            </w:pPr>
          </w:p>
        </w:tc>
        <w:tc>
          <w:tcPr>
            <w:tcW w:w="6946" w:type="dxa"/>
          </w:tcPr>
          <w:p>
            <w:pPr>
              <w:spacing w:line="440" w:lineRule="exact"/>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5.所投产品品牌入围最近年度“中国医疗设备行业数据及售后服务调查”三等甲级医院推荐品牌，排名最靠前的得标准分值，依次递减0.2分，最低得0分。（提供证明材料）</w:t>
            </w:r>
          </w:p>
        </w:tc>
        <w:tc>
          <w:tcPr>
            <w:tcW w:w="708"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Pr>
          <w:p>
            <w:pPr>
              <w:spacing w:line="440" w:lineRule="exact"/>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6.所投产品入围最近年度“中国医学装备协会发布优秀国产医疗设备产品目录”得标准分值，其他得0分。（提供证明材料）</w:t>
            </w:r>
          </w:p>
        </w:tc>
        <w:tc>
          <w:tcPr>
            <w:tcW w:w="708"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08" w:type="dxa"/>
            <w:vMerge w:val="continue"/>
            <w:vAlign w:val="center"/>
          </w:tcPr>
          <w:p>
            <w:pPr>
              <w:spacing w:line="440" w:lineRule="exact"/>
              <w:jc w:val="center"/>
              <w:rPr>
                <w:rFonts w:eastAsia="宋体" w:cs="Times New Roman" w:asciiTheme="minorEastAsia" w:hAnsiTheme="minorEastAsia"/>
                <w:kern w:val="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Cs w:val="21"/>
              </w:rPr>
            </w:pPr>
          </w:p>
        </w:tc>
        <w:tc>
          <w:tcPr>
            <w:tcW w:w="6946" w:type="dxa"/>
          </w:tcPr>
          <w:p>
            <w:pPr>
              <w:spacing w:line="440" w:lineRule="exact"/>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7.</w:t>
            </w:r>
            <w:r>
              <w:rPr>
                <w:rFonts w:cs="Times New Roman" w:asciiTheme="majorEastAsia" w:hAnsiTheme="majorEastAsia" w:eastAsiaTheme="majorEastAsia"/>
                <w:kern w:val="0"/>
                <w:szCs w:val="21"/>
              </w:rPr>
              <w:t xml:space="preserve"> 所投产品技术优势特色：最优得标准分，依次递减</w:t>
            </w:r>
            <w:r>
              <w:rPr>
                <w:rFonts w:hint="eastAsia" w:cs="Times New Roman" w:asciiTheme="majorEastAsia" w:hAnsiTheme="majorEastAsia" w:eastAsiaTheme="majorEastAsia"/>
                <w:kern w:val="0"/>
                <w:szCs w:val="21"/>
              </w:rPr>
              <w:t>2分，最低得0分。</w:t>
            </w:r>
          </w:p>
        </w:tc>
        <w:tc>
          <w:tcPr>
            <w:tcW w:w="708"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0" w:hRule="atLeast"/>
        </w:trPr>
        <w:tc>
          <w:tcPr>
            <w:tcW w:w="708" w:type="dxa"/>
            <w:vMerge w:val="restart"/>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二</w:t>
            </w:r>
          </w:p>
        </w:tc>
        <w:tc>
          <w:tcPr>
            <w:tcW w:w="994" w:type="dxa"/>
            <w:gridSpan w:val="2"/>
            <w:vMerge w:val="restart"/>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产品技术性能指标参数满足偏离情况（45分）</w:t>
            </w:r>
          </w:p>
        </w:tc>
        <w:tc>
          <w:tcPr>
            <w:tcW w:w="6946" w:type="dxa"/>
            <w:tcBorders>
              <w:bottom w:val="single" w:color="auto" w:sz="4" w:space="0"/>
            </w:tcBorders>
          </w:tcPr>
          <w:p>
            <w:pPr>
              <w:spacing w:line="440" w:lineRule="exact"/>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1.可以量化排名的</w:t>
            </w:r>
            <w:r>
              <w:rPr>
                <w:rFonts w:hint="eastAsia" w:ascii="宋体" w:hAnsi="宋体" w:eastAsia="宋体" w:cs="宋体"/>
                <w:kern w:val="0"/>
                <w:szCs w:val="21"/>
              </w:rPr>
              <w:t>★</w:t>
            </w:r>
            <w:r>
              <w:rPr>
                <w:rFonts w:hint="eastAsia" w:cs="Times New Roman" w:asciiTheme="majorEastAsia" w:hAnsiTheme="majorEastAsia" w:eastAsiaTheme="majorEastAsia"/>
                <w:kern w:val="0"/>
                <w:szCs w:val="21"/>
              </w:rPr>
              <w:t>号、</w:t>
            </w:r>
            <w:r>
              <w:rPr>
                <w:rFonts w:hint="eastAsia" w:cs="Times New Roman" w:asciiTheme="majorEastAsia" w:hAnsiTheme="majorEastAsia" w:eastAsiaTheme="majorEastAsia"/>
                <w:kern w:val="0"/>
                <w:szCs w:val="21"/>
                <w:lang w:val="zh-CN"/>
              </w:rPr>
              <w:t>▲</w:t>
            </w:r>
            <w:r>
              <w:rPr>
                <w:rFonts w:hint="eastAsia" w:cs="Times New Roman" w:asciiTheme="majorEastAsia" w:hAnsiTheme="majorEastAsia" w:eastAsiaTheme="majorEastAsia"/>
                <w:kern w:val="0"/>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tcPr>
          <w:p>
            <w:pPr>
              <w:spacing w:line="440" w:lineRule="exact"/>
              <w:jc w:val="center"/>
              <w:rPr>
                <w:rFonts w:eastAsia="宋体" w:cs="Times New Roman" w:asciiTheme="minorEastAsia" w:hAnsiTheme="minorEastAsia"/>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8"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bottom w:val="single" w:color="auto" w:sz="4" w:space="0"/>
            </w:tcBorders>
          </w:tcPr>
          <w:p>
            <w:pPr>
              <w:spacing w:line="440" w:lineRule="exact"/>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2.可以量化排名的</w:t>
            </w:r>
            <w:r>
              <w:rPr>
                <w:rFonts w:hint="eastAsia" w:cs="Times New Roman" w:asciiTheme="majorEastAsia" w:hAnsiTheme="majorEastAsia" w:eastAsiaTheme="majorEastAsia"/>
                <w:kern w:val="0"/>
                <w:szCs w:val="21"/>
                <w:lang w:val="zh-CN"/>
              </w:rPr>
              <w:t>▲</w:t>
            </w:r>
            <w:r>
              <w:rPr>
                <w:rFonts w:hint="eastAsia" w:cs="Times New Roman" w:asciiTheme="majorEastAsia" w:hAnsiTheme="majorEastAsia" w:eastAsiaTheme="majorEastAsia"/>
                <w:kern w:val="0"/>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bottom w:val="single" w:color="auto" w:sz="4" w:space="0"/>
            </w:tcBorders>
          </w:tcPr>
          <w:p>
            <w:pPr>
              <w:spacing w:line="440" w:lineRule="exact"/>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 xml:space="preserve">3. </w:t>
            </w:r>
            <w:r>
              <w:rPr>
                <w:rFonts w:hint="eastAsia" w:cs="Times New Roman" w:asciiTheme="majorEastAsia" w:hAnsiTheme="majorEastAsia" w:eastAsiaTheme="majorEastAsia"/>
                <w:kern w:val="0"/>
                <w:szCs w:val="21"/>
                <w:lang w:val="zh-CN"/>
              </w:rPr>
              <w:t>▲</w:t>
            </w:r>
            <w:r>
              <w:rPr>
                <w:rFonts w:hint="eastAsia" w:cs="Times New Roman" w:asciiTheme="majorEastAsia" w:hAnsiTheme="majorEastAsia" w:eastAsiaTheme="majorEastAsia"/>
                <w:kern w:val="0"/>
                <w:szCs w:val="21"/>
              </w:rPr>
              <w:t>号指标和一般指标中不便量化排名的，满足要求的得标准分值，不满足的得0分。</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tcBorders>
            <w:shd w:val="clear" w:color="auto" w:fill="auto"/>
          </w:tcPr>
          <w:p>
            <w:pPr>
              <w:spacing w:line="440" w:lineRule="exact"/>
              <w:rPr>
                <w:rFonts w:cs="Times New Roman" w:asciiTheme="majorEastAsia" w:hAnsiTheme="majorEastAsia" w:eastAsiaTheme="majorEastAsia"/>
                <w:kern w:val="0"/>
                <w:szCs w:val="21"/>
              </w:rPr>
            </w:pPr>
            <w:r>
              <w:rPr>
                <w:rFonts w:hint="eastAsia" w:cs="Times New Roman" w:asciiTheme="majorEastAsia" w:hAnsiTheme="majorEastAsia" w:eastAsiaTheme="majorEastAsia"/>
                <w:kern w:val="0"/>
                <w:szCs w:val="21"/>
              </w:rPr>
              <w:t>4.产品配置不齐全或性能用途与招标要求不符，“产品技术性能指标参数满足偏离情况”总得分为0分。</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Cs w:val="21"/>
              </w:rPr>
            </w:pPr>
          </w:p>
        </w:tc>
        <w:tc>
          <w:tcPr>
            <w:tcW w:w="6946" w:type="dxa"/>
            <w:noWrap/>
          </w:tcPr>
          <w:p>
            <w:pPr>
              <w:spacing w:line="4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★参数1：</w:t>
            </w:r>
            <w:r>
              <w:rPr>
                <w:rFonts w:hint="eastAsia" w:asciiTheme="minorEastAsia" w:hAnsiTheme="minorEastAsia" w:eastAsiaTheme="minorEastAsia" w:cstheme="minorEastAsia"/>
                <w:sz w:val="21"/>
                <w:szCs w:val="21"/>
              </w:rPr>
              <w:t>采用低能量智能双相波除颤，除颤能量≤200J，根据病人阻抗调整除颤波形，保证有效的经心电流。</w:t>
            </w:r>
          </w:p>
        </w:tc>
        <w:tc>
          <w:tcPr>
            <w:tcW w:w="708" w:type="dxa"/>
            <w:vAlign w:val="center"/>
          </w:tcPr>
          <w:p>
            <w:pPr>
              <w:spacing w:line="440" w:lineRule="exact"/>
              <w:jc w:val="center"/>
              <w:rPr>
                <w:rFonts w:hint="eastAsia" w:eastAsia="宋体" w:cs="Times New Roman" w:asciiTheme="minorEastAsia" w:hAnsiTheme="minorEastAsia"/>
                <w:kern w:val="0"/>
                <w:szCs w:val="21"/>
                <w:lang w:eastAsia="zh-CN"/>
              </w:rPr>
            </w:pPr>
            <w:r>
              <w:rPr>
                <w:rFonts w:hint="eastAsia" w:eastAsia="宋体" w:cs="Times New Roman" w:asciiTheme="minorEastAsia" w:hAnsiTheme="minorEastAsia"/>
                <w:kern w:val="0"/>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★参数2：</w:t>
            </w:r>
            <w:r>
              <w:rPr>
                <w:rFonts w:hint="eastAsia" w:asciiTheme="minorEastAsia" w:hAnsiTheme="minorEastAsia" w:eastAsiaTheme="minorEastAsia" w:cstheme="minorEastAsia"/>
                <w:sz w:val="21"/>
                <w:szCs w:val="21"/>
              </w:rPr>
              <w:t>显示屏幕≥6.5寸高分辨率彩色显示屏</w:t>
            </w:r>
          </w:p>
        </w:tc>
        <w:tc>
          <w:tcPr>
            <w:tcW w:w="708" w:type="dxa"/>
            <w:vAlign w:val="center"/>
          </w:tcPr>
          <w:p>
            <w:pPr>
              <w:spacing w:line="440" w:lineRule="exact"/>
              <w:jc w:val="center"/>
              <w:rPr>
                <w:rFonts w:hint="eastAsia" w:eastAsia="宋体" w:cs="Times New Roman" w:asciiTheme="minorEastAsia" w:hAnsiTheme="minorEastAsia"/>
                <w:kern w:val="0"/>
                <w:sz w:val="20"/>
                <w:szCs w:val="21"/>
                <w:lang w:eastAsia="zh-CN"/>
              </w:rPr>
            </w:pPr>
            <w:r>
              <w:rPr>
                <w:rFonts w:hint="eastAsia" w:eastAsia="宋体" w:cs="Times New Roman" w:asciiTheme="minorEastAsia" w:hAnsiTheme="minorEastAsia"/>
                <w:kern w:val="0"/>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★参数3：</w:t>
            </w:r>
            <w:r>
              <w:rPr>
                <w:rFonts w:hint="eastAsia" w:asciiTheme="minorEastAsia" w:hAnsiTheme="minorEastAsia" w:eastAsiaTheme="minorEastAsia" w:cstheme="minorEastAsia"/>
                <w:sz w:val="21"/>
                <w:szCs w:val="21"/>
              </w:rPr>
              <w:t>手动除颤最低能量为1J，且1-10J都均可选，除颤能量选择采用旋钮式</w:t>
            </w:r>
          </w:p>
        </w:tc>
        <w:tc>
          <w:tcPr>
            <w:tcW w:w="708" w:type="dxa"/>
            <w:vAlign w:val="center"/>
          </w:tcPr>
          <w:p>
            <w:pPr>
              <w:spacing w:line="440" w:lineRule="exact"/>
              <w:jc w:val="center"/>
              <w:rPr>
                <w:rFonts w:hint="eastAsia" w:eastAsia="宋体" w:cs="Times New Roman" w:asciiTheme="minorEastAsia" w:hAnsiTheme="minorEastAsia"/>
                <w:kern w:val="0"/>
                <w:sz w:val="20"/>
                <w:szCs w:val="21"/>
                <w:lang w:eastAsia="zh-CN"/>
              </w:rPr>
            </w:pPr>
            <w:r>
              <w:rPr>
                <w:rFonts w:hint="eastAsia" w:eastAsia="宋体" w:cs="Times New Roman" w:asciiTheme="minorEastAsia" w:hAnsiTheme="minorEastAsia"/>
                <w:kern w:val="0"/>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▲参数4：</w:t>
            </w:r>
            <w:r>
              <w:rPr>
                <w:rFonts w:hint="eastAsia" w:asciiTheme="minorEastAsia" w:hAnsiTheme="minorEastAsia" w:eastAsiaTheme="minorEastAsia" w:cstheme="minorEastAsia"/>
                <w:sz w:val="21"/>
                <w:szCs w:val="21"/>
              </w:rPr>
              <w:t>防水、防固体渗入等级≥IP54</w:t>
            </w:r>
          </w:p>
        </w:tc>
        <w:tc>
          <w:tcPr>
            <w:tcW w:w="708" w:type="dxa"/>
            <w:vAlign w:val="center"/>
          </w:tcPr>
          <w:p>
            <w:pPr>
              <w:spacing w:line="440" w:lineRule="exact"/>
              <w:jc w:val="center"/>
              <w:rPr>
                <w:rFonts w:hint="eastAsia" w:eastAsia="宋体" w:cs="Times New Roman" w:asciiTheme="minorEastAsia" w:hAnsiTheme="minorEastAsia"/>
                <w:kern w:val="0"/>
                <w:sz w:val="20"/>
                <w:szCs w:val="21"/>
                <w:lang w:eastAsia="zh-CN"/>
              </w:rPr>
            </w:pPr>
            <w:r>
              <w:rPr>
                <w:rFonts w:hint="eastAsia" w:eastAsia="宋体" w:cs="Times New Roman" w:asciiTheme="minorEastAsia" w:hAnsiTheme="minorEastAsia"/>
                <w:kern w:val="0"/>
                <w:sz w:val="20"/>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▲参数5：</w:t>
            </w:r>
            <w:r>
              <w:rPr>
                <w:rFonts w:hint="eastAsia" w:asciiTheme="minorEastAsia" w:hAnsiTheme="minorEastAsia" w:eastAsiaTheme="minorEastAsia" w:cstheme="minorEastAsia"/>
                <w:bCs/>
                <w:sz w:val="21"/>
                <w:szCs w:val="21"/>
              </w:rPr>
              <w:t>成人儿童一体化除颤电极板，具备病人接触是否良好的指示灯</w:t>
            </w:r>
          </w:p>
        </w:tc>
        <w:tc>
          <w:tcPr>
            <w:tcW w:w="708" w:type="dxa"/>
            <w:vAlign w:val="center"/>
          </w:tcPr>
          <w:p>
            <w:pPr>
              <w:spacing w:line="440" w:lineRule="exact"/>
              <w:jc w:val="center"/>
              <w:rPr>
                <w:rFonts w:hint="eastAsia" w:eastAsia="宋体" w:cs="Times New Roman" w:asciiTheme="minorEastAsia" w:hAnsiTheme="minorEastAsia"/>
                <w:kern w:val="0"/>
                <w:sz w:val="20"/>
                <w:szCs w:val="21"/>
                <w:lang w:eastAsia="zh-CN"/>
              </w:rPr>
            </w:pPr>
            <w:r>
              <w:rPr>
                <w:rFonts w:hint="eastAsia" w:eastAsia="宋体" w:cs="Times New Roman" w:asciiTheme="minorEastAsia" w:hAnsiTheme="minorEastAsia"/>
                <w:kern w:val="0"/>
                <w:sz w:val="20"/>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▲参数6：</w:t>
            </w:r>
            <w:r>
              <w:rPr>
                <w:rFonts w:hint="eastAsia" w:asciiTheme="minorEastAsia" w:hAnsiTheme="minorEastAsia" w:eastAsiaTheme="minorEastAsia" w:cstheme="minorEastAsia"/>
                <w:sz w:val="21"/>
                <w:szCs w:val="21"/>
              </w:rPr>
              <w:t>具备状态指示器</w:t>
            </w:r>
          </w:p>
        </w:tc>
        <w:tc>
          <w:tcPr>
            <w:tcW w:w="708" w:type="dxa"/>
            <w:vAlign w:val="center"/>
          </w:tcPr>
          <w:p>
            <w:pPr>
              <w:spacing w:line="440" w:lineRule="exact"/>
              <w:jc w:val="center"/>
              <w:rPr>
                <w:rFonts w:hint="eastAsia" w:eastAsia="宋体" w:cs="Times New Roman" w:asciiTheme="minorEastAsia" w:hAnsiTheme="minorEastAsia"/>
                <w:kern w:val="0"/>
                <w:sz w:val="20"/>
                <w:szCs w:val="21"/>
                <w:lang w:eastAsia="zh-CN"/>
              </w:rPr>
            </w:pPr>
            <w:r>
              <w:rPr>
                <w:rFonts w:hint="eastAsia" w:eastAsia="宋体" w:cs="Times New Roman" w:asciiTheme="minorEastAsia" w:hAnsiTheme="minorEastAsia"/>
                <w:kern w:val="0"/>
                <w:sz w:val="20"/>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▲参数7：</w:t>
            </w:r>
            <w:r>
              <w:rPr>
                <w:rFonts w:hint="eastAsia" w:asciiTheme="minorEastAsia" w:hAnsiTheme="minorEastAsia" w:eastAsiaTheme="minorEastAsia" w:cstheme="minorEastAsia"/>
                <w:sz w:val="21"/>
                <w:szCs w:val="21"/>
              </w:rPr>
              <w:t>具备关机自检功能，无论设备时在关机状态还是工作状态，都具备每小时，每天，每周定期自检（需提供证明材料）</w:t>
            </w:r>
          </w:p>
        </w:tc>
        <w:tc>
          <w:tcPr>
            <w:tcW w:w="708" w:type="dxa"/>
            <w:vAlign w:val="center"/>
          </w:tcPr>
          <w:p>
            <w:pPr>
              <w:spacing w:line="440" w:lineRule="exact"/>
              <w:jc w:val="center"/>
              <w:rPr>
                <w:rFonts w:hint="eastAsia" w:eastAsia="宋体" w:cs="Times New Roman" w:asciiTheme="minorEastAsia" w:hAnsiTheme="minorEastAsia"/>
                <w:kern w:val="0"/>
                <w:sz w:val="20"/>
                <w:szCs w:val="21"/>
                <w:lang w:eastAsia="zh-CN"/>
              </w:rPr>
            </w:pPr>
            <w:r>
              <w:rPr>
                <w:rFonts w:hint="eastAsia" w:eastAsia="宋体" w:cs="Times New Roman" w:asciiTheme="minorEastAsia" w:hAnsiTheme="minorEastAsia"/>
                <w:kern w:val="0"/>
                <w:sz w:val="20"/>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参数8：</w:t>
            </w:r>
            <w:r>
              <w:rPr>
                <w:rFonts w:hint="eastAsia" w:asciiTheme="minorEastAsia" w:hAnsiTheme="minorEastAsia" w:eastAsiaTheme="minorEastAsia" w:cstheme="minorEastAsia"/>
                <w:sz w:val="21"/>
                <w:szCs w:val="21"/>
              </w:rPr>
              <w:t>AED功能具备一键切换成人及婴幼儿儿童模式</w:t>
            </w:r>
          </w:p>
        </w:tc>
        <w:tc>
          <w:tcPr>
            <w:tcW w:w="708" w:type="dxa"/>
            <w:vAlign w:val="center"/>
          </w:tcPr>
          <w:p>
            <w:pPr>
              <w:spacing w:line="440" w:lineRule="exact"/>
              <w:jc w:val="center"/>
              <w:rPr>
                <w:rFonts w:hint="eastAsia" w:eastAsia="宋体" w:cs="Times New Roman" w:asciiTheme="minorEastAsia" w:hAnsiTheme="minorEastAsia"/>
                <w:kern w:val="0"/>
                <w:sz w:val="20"/>
                <w:szCs w:val="21"/>
                <w:lang w:eastAsia="zh-CN"/>
              </w:rPr>
            </w:pPr>
            <w:r>
              <w:rPr>
                <w:rFonts w:hint="eastAsia" w:eastAsia="宋体" w:cs="Times New Roman" w:asciiTheme="minorEastAsia" w:hAnsiTheme="minorEastAsia"/>
                <w:kern w:val="0"/>
                <w:sz w:val="20"/>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参数9：</w:t>
            </w:r>
            <w:r>
              <w:rPr>
                <w:rFonts w:hint="eastAsia" w:asciiTheme="minorEastAsia" w:hAnsiTheme="minorEastAsia" w:eastAsiaTheme="minorEastAsia" w:cstheme="minorEastAsia"/>
                <w:sz w:val="21"/>
                <w:szCs w:val="21"/>
              </w:rPr>
              <w:t>标配手动除颤，AED和同步电复律功能</w:t>
            </w:r>
          </w:p>
        </w:tc>
        <w:tc>
          <w:tcPr>
            <w:tcW w:w="708" w:type="dxa"/>
            <w:vAlign w:val="center"/>
          </w:tcPr>
          <w:p>
            <w:pPr>
              <w:spacing w:line="440" w:lineRule="exact"/>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Cs w:val="21"/>
              </w:rPr>
            </w:pPr>
          </w:p>
        </w:tc>
        <w:tc>
          <w:tcPr>
            <w:tcW w:w="6946" w:type="dxa"/>
            <w:noWrap/>
          </w:tcPr>
          <w:p>
            <w:pPr>
              <w:spacing w:line="4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参数10：</w:t>
            </w:r>
            <w:r>
              <w:rPr>
                <w:rFonts w:hint="eastAsia" w:asciiTheme="minorEastAsia" w:hAnsiTheme="minorEastAsia" w:eastAsiaTheme="minorEastAsia" w:cstheme="minorEastAsia"/>
                <w:sz w:val="21"/>
                <w:szCs w:val="21"/>
              </w:rPr>
              <w:t>标配三导心电监测功能，可升级到五导心电监护</w:t>
            </w:r>
          </w:p>
        </w:tc>
        <w:tc>
          <w:tcPr>
            <w:tcW w:w="708"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 w:val="20"/>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Cs w:val="21"/>
              </w:rPr>
            </w:pPr>
          </w:p>
        </w:tc>
        <w:tc>
          <w:tcPr>
            <w:tcW w:w="6946" w:type="dxa"/>
            <w:noWrap/>
          </w:tcPr>
          <w:p>
            <w:pPr>
              <w:spacing w:line="4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参数11：</w:t>
            </w:r>
            <w:r>
              <w:rPr>
                <w:rFonts w:hint="eastAsia" w:asciiTheme="minorEastAsia" w:hAnsiTheme="minorEastAsia" w:eastAsiaTheme="minorEastAsia" w:cstheme="minorEastAsia"/>
                <w:sz w:val="21"/>
                <w:szCs w:val="21"/>
              </w:rPr>
              <w:t>具有快速电击技术，启动AED模式到通电完成时间≤8秒</w:t>
            </w:r>
          </w:p>
        </w:tc>
        <w:tc>
          <w:tcPr>
            <w:tcW w:w="708"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 w:val="20"/>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Cs w:val="21"/>
              </w:rPr>
            </w:pPr>
          </w:p>
        </w:tc>
        <w:tc>
          <w:tcPr>
            <w:tcW w:w="6946" w:type="dxa"/>
            <w:noWrap/>
          </w:tcPr>
          <w:p>
            <w:pPr>
              <w:spacing w:line="4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参数12：</w:t>
            </w:r>
            <w:r>
              <w:rPr>
                <w:rFonts w:hint="eastAsia" w:asciiTheme="minorEastAsia" w:hAnsiTheme="minorEastAsia" w:eastAsiaTheme="minorEastAsia" w:cstheme="minorEastAsia"/>
                <w:sz w:val="21"/>
                <w:szCs w:val="21"/>
              </w:rPr>
              <w:t>可进行持续心电监护，可识别≥9种常见的心率/心律失常报警，有心率快/心率慢、心搏停止、室颤/室速、室速、极度心动过速、室性早搏心率、起搏器未夺获、起搏器未起搏</w:t>
            </w:r>
          </w:p>
        </w:tc>
        <w:tc>
          <w:tcPr>
            <w:tcW w:w="708"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 w:val="20"/>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Cs w:val="21"/>
              </w:rPr>
            </w:pPr>
          </w:p>
        </w:tc>
        <w:tc>
          <w:tcPr>
            <w:tcW w:w="6946" w:type="dxa"/>
            <w:noWrap/>
          </w:tcPr>
          <w:p>
            <w:pPr>
              <w:spacing w:line="4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参数13：</w:t>
            </w:r>
            <w:r>
              <w:rPr>
                <w:rFonts w:hint="eastAsia" w:asciiTheme="minorEastAsia" w:hAnsiTheme="minorEastAsia" w:eastAsiaTheme="minorEastAsia" w:cstheme="minorEastAsia"/>
                <w:sz w:val="21"/>
                <w:szCs w:val="21"/>
              </w:rPr>
              <w:t>除颤能量采用旋钮选择方式，而非按键选择能量，方便快捷节约抢救时间</w:t>
            </w:r>
          </w:p>
        </w:tc>
        <w:tc>
          <w:tcPr>
            <w:tcW w:w="708" w:type="dxa"/>
            <w:vAlign w:val="center"/>
          </w:tcPr>
          <w:p>
            <w:pPr>
              <w:spacing w:line="440" w:lineRule="exact"/>
              <w:jc w:val="center"/>
              <w:rPr>
                <w:rFonts w:hint="eastAsia"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Cs w:val="21"/>
              </w:rPr>
            </w:pPr>
          </w:p>
        </w:tc>
        <w:tc>
          <w:tcPr>
            <w:tcW w:w="6946" w:type="dxa"/>
            <w:noWrap/>
          </w:tcPr>
          <w:p>
            <w:pPr>
              <w:spacing w:line="4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参数1</w:t>
            </w:r>
            <w:r>
              <w:rPr>
                <w:rFonts w:hint="eastAsia" w:asciiTheme="minorEastAsia" w:hAnsiTheme="minorEastAsia" w:eastAsiaTheme="minorEastAsia" w:cstheme="minorEastAsia"/>
                <w:kern w:val="0"/>
                <w:sz w:val="21"/>
                <w:szCs w:val="21"/>
                <w:lang w:val="en-US" w:eastAsia="zh-CN"/>
              </w:rPr>
              <w:t>4</w:t>
            </w: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sz w:val="21"/>
                <w:szCs w:val="21"/>
              </w:rPr>
              <w:t>具备生命体征趋势回顾功能</w:t>
            </w:r>
          </w:p>
        </w:tc>
        <w:tc>
          <w:tcPr>
            <w:tcW w:w="708"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 w:val="20"/>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restart"/>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三</w:t>
            </w:r>
          </w:p>
        </w:tc>
        <w:tc>
          <w:tcPr>
            <w:tcW w:w="994" w:type="dxa"/>
            <w:gridSpan w:val="2"/>
            <w:vMerge w:val="restart"/>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售后</w:t>
            </w:r>
            <w:r>
              <w:rPr>
                <w:rFonts w:hint="eastAsia" w:eastAsia="宋体" w:cs="Times New Roman" w:asciiTheme="minorEastAsia" w:hAnsiTheme="minorEastAsia"/>
                <w:kern w:val="0"/>
                <w:szCs w:val="21"/>
              </w:rPr>
              <w:br w:type="textWrapping"/>
            </w:r>
            <w:r>
              <w:rPr>
                <w:rFonts w:hint="eastAsia" w:eastAsia="宋体" w:cs="Times New Roman" w:asciiTheme="minorEastAsia" w:hAnsiTheme="minorEastAsia"/>
                <w:kern w:val="0"/>
                <w:szCs w:val="21"/>
              </w:rPr>
              <w:t>服务</w:t>
            </w:r>
          </w:p>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（8分）</w:t>
            </w:r>
          </w:p>
        </w:tc>
        <w:tc>
          <w:tcPr>
            <w:tcW w:w="6946" w:type="dxa"/>
          </w:tcPr>
          <w:p>
            <w:pPr>
              <w:spacing w:line="440" w:lineRule="exact"/>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708" w:type="dxa"/>
            <w:vMerge w:val="continue"/>
            <w:vAlign w:val="center"/>
          </w:tcPr>
          <w:p>
            <w:pPr>
              <w:spacing w:line="440" w:lineRule="exact"/>
              <w:jc w:val="center"/>
              <w:rPr>
                <w:rFonts w:eastAsia="宋体" w:cs="Times New Roman" w:asciiTheme="minorEastAsia" w:hAnsiTheme="minorEastAsia"/>
                <w:kern w:val="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Cs w:val="21"/>
              </w:rPr>
            </w:pPr>
          </w:p>
        </w:tc>
        <w:tc>
          <w:tcPr>
            <w:tcW w:w="6946" w:type="dxa"/>
          </w:tcPr>
          <w:p>
            <w:pPr>
              <w:spacing w:line="440" w:lineRule="exact"/>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零配件支持：提供零配件全国统一报价，更换配件价格不超过统一报价的70%。在满足招标文件要求的基础上，根据</w:t>
            </w:r>
            <w:r>
              <w:rPr>
                <w:rFonts w:hint="eastAsia" w:eastAsia="宋体" w:cs="Times New Roman" w:asciiTheme="minorEastAsia" w:hAnsiTheme="minorEastAsia"/>
                <w:b/>
                <w:kern w:val="0"/>
                <w:szCs w:val="21"/>
                <w:u w:val="single"/>
              </w:rPr>
              <w:t>主要零配件价格</w:t>
            </w:r>
            <w:r>
              <w:rPr>
                <w:rFonts w:hint="eastAsia" w:eastAsia="宋体" w:cs="Times New Roman" w:asciiTheme="minorEastAsia" w:hAnsiTheme="minorEastAsia"/>
                <w:kern w:val="0"/>
                <w:szCs w:val="21"/>
              </w:rPr>
              <w:t>排名，报价最低的得标准分值，其余排名依次按标准分值的25%减分，最低得0分。三分之二以上技术专家认为报价不合理的得0分。</w:t>
            </w:r>
          </w:p>
        </w:tc>
        <w:tc>
          <w:tcPr>
            <w:tcW w:w="708"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708" w:type="dxa"/>
            <w:vMerge w:val="continue"/>
            <w:vAlign w:val="center"/>
          </w:tcPr>
          <w:p>
            <w:pPr>
              <w:spacing w:line="440" w:lineRule="exact"/>
              <w:jc w:val="center"/>
              <w:rPr>
                <w:rFonts w:eastAsia="宋体" w:cs="Times New Roman" w:asciiTheme="minorEastAsia" w:hAnsiTheme="minorEastAsia"/>
                <w:kern w:val="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Cs w:val="21"/>
              </w:rPr>
            </w:pPr>
          </w:p>
        </w:tc>
        <w:tc>
          <w:tcPr>
            <w:tcW w:w="6946" w:type="dxa"/>
          </w:tcPr>
          <w:p>
            <w:pPr>
              <w:spacing w:line="440" w:lineRule="exact"/>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按照报价方承诺的零配件保证供应时间长短排名，时间最长的得标准分值，依次递减0.2分，最低得0分。</w:t>
            </w:r>
          </w:p>
        </w:tc>
        <w:tc>
          <w:tcPr>
            <w:tcW w:w="708"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continue"/>
            <w:vAlign w:val="center"/>
          </w:tcPr>
          <w:p>
            <w:pPr>
              <w:spacing w:line="440" w:lineRule="exact"/>
              <w:jc w:val="center"/>
              <w:rPr>
                <w:rFonts w:eastAsia="宋体" w:cs="Times New Roman" w:asciiTheme="minorEastAsia" w:hAnsiTheme="minorEastAsia"/>
                <w:kern w:val="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Cs w:val="21"/>
              </w:rPr>
            </w:pPr>
          </w:p>
        </w:tc>
        <w:tc>
          <w:tcPr>
            <w:tcW w:w="6946" w:type="dxa"/>
          </w:tcPr>
          <w:p>
            <w:pPr>
              <w:spacing w:line="440" w:lineRule="exact"/>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08" w:type="dxa"/>
            <w:vMerge w:val="continue"/>
            <w:vAlign w:val="center"/>
          </w:tcPr>
          <w:p>
            <w:pPr>
              <w:spacing w:line="440" w:lineRule="exact"/>
              <w:jc w:val="center"/>
              <w:rPr>
                <w:rFonts w:eastAsia="宋体" w:cs="Times New Roman" w:asciiTheme="minorEastAsia" w:hAnsiTheme="minorEastAsia"/>
                <w:kern w:val="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Cs w:val="21"/>
              </w:rPr>
            </w:pPr>
          </w:p>
        </w:tc>
        <w:tc>
          <w:tcPr>
            <w:tcW w:w="6946" w:type="dxa"/>
            <w:tcBorders>
              <w:bottom w:val="single" w:color="auto" w:sz="4" w:space="0"/>
            </w:tcBorders>
          </w:tcPr>
          <w:p>
            <w:pPr>
              <w:spacing w:line="440" w:lineRule="exact"/>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保修期外维修费用：保修期外的包修费用及维修工时费计算方法及价格，按厂家自报排名，费用最低的得标准分值，依次按标准分值25%递减，最低得0分。</w:t>
            </w:r>
          </w:p>
        </w:tc>
        <w:tc>
          <w:tcPr>
            <w:tcW w:w="708" w:type="dxa"/>
            <w:tcBorders>
              <w:bottom w:val="single" w:color="auto" w:sz="4" w:space="0"/>
            </w:tcBorders>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8" w:hRule="atLeast"/>
        </w:trPr>
        <w:tc>
          <w:tcPr>
            <w:tcW w:w="708" w:type="dxa"/>
            <w:vMerge w:val="continue"/>
            <w:vAlign w:val="center"/>
          </w:tcPr>
          <w:p>
            <w:pPr>
              <w:spacing w:line="440" w:lineRule="exact"/>
              <w:jc w:val="center"/>
              <w:rPr>
                <w:rFonts w:eastAsia="宋体" w:cs="Times New Roman" w:asciiTheme="minorEastAsia" w:hAnsiTheme="minorEastAsia"/>
                <w:kern w:val="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Cs w:val="21"/>
              </w:rPr>
            </w:pPr>
          </w:p>
        </w:tc>
        <w:tc>
          <w:tcPr>
            <w:tcW w:w="6946" w:type="dxa"/>
            <w:tcBorders>
              <w:bottom w:val="single" w:color="auto" w:sz="4" w:space="0"/>
            </w:tcBorders>
          </w:tcPr>
          <w:p>
            <w:pPr>
              <w:spacing w:line="440" w:lineRule="exact"/>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技术支持和服务网点：</w:t>
            </w:r>
            <w:r>
              <w:rPr>
                <w:rFonts w:hint="eastAsia" w:eastAsia="宋体" w:cs="Times New Roman" w:asciiTheme="minorEastAsia" w:hAnsiTheme="minorEastAsia"/>
                <w:kern w:val="0"/>
                <w:szCs w:val="21"/>
              </w:rPr>
              <w:br w:type="textWrapping"/>
            </w:r>
            <w:r>
              <w:rPr>
                <w:rFonts w:hint="eastAsia" w:eastAsia="宋体" w:cs="Times New Roman" w:asciiTheme="minorEastAsia" w:hAnsiTheme="minorEastAsia"/>
                <w:kern w:val="0"/>
                <w:szCs w:val="21"/>
              </w:rPr>
              <w:t>1.产品和品牌具有较高知名度及广泛普及度，提供指定地点的现场服务支持，具备全国各主要省份的售后服务网络和对应的24小时服务支持热线且技术力量能满足部队维修服务需求的得1分，不满足得0分；</w:t>
            </w:r>
            <w:r>
              <w:rPr>
                <w:rFonts w:hint="eastAsia" w:eastAsia="宋体" w:cs="Times New Roman" w:asciiTheme="minorEastAsia" w:hAnsiTheme="minorEastAsia"/>
                <w:kern w:val="0"/>
                <w:szCs w:val="21"/>
              </w:rPr>
              <w:br w:type="textWrapping"/>
            </w:r>
            <w:r>
              <w:rPr>
                <w:rFonts w:hint="eastAsia" w:eastAsia="宋体" w:cs="Times New Roman" w:asciiTheme="minorEastAsia" w:hAnsiTheme="minorEastAsia"/>
                <w:kern w:val="0"/>
                <w:szCs w:val="21"/>
              </w:rPr>
              <w:t>2.根据指定地点的服务网点数量排名，第一名得1分，依次按标准分值25%递减，最低得0分。</w:t>
            </w:r>
          </w:p>
        </w:tc>
        <w:tc>
          <w:tcPr>
            <w:tcW w:w="708" w:type="dxa"/>
            <w:tcBorders>
              <w:bottom w:val="single" w:color="auto" w:sz="4" w:space="0"/>
            </w:tcBorders>
            <w:vAlign w:val="center"/>
          </w:tcPr>
          <w:p>
            <w:pPr>
              <w:spacing w:line="440" w:lineRule="exact"/>
              <w:jc w:val="center"/>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tcBorders>
          </w:tcPr>
          <w:p>
            <w:pPr>
              <w:spacing w:line="440" w:lineRule="exact"/>
              <w:rPr>
                <w:rFonts w:eastAsia="宋体" w:cs="Times New Roman" w:asciiTheme="minorEastAsia" w:hAnsiTheme="minorEastAsia"/>
                <w:kern w:val="0"/>
                <w:szCs w:val="21"/>
              </w:rPr>
            </w:pPr>
            <w:r>
              <w:rPr>
                <w:rFonts w:hint="eastAsia" w:eastAsia="宋体" w:cs="Times New Roman" w:asciiTheme="minorEastAsia" w:hAnsiTheme="minorEastAsia"/>
                <w:kern w:val="0"/>
                <w:szCs w:val="21"/>
              </w:rPr>
              <w:t>1.近三年企业售后服务未满足用户要求、未按承诺履行义务、被投诉的，每次得-1分。</w:t>
            </w:r>
          </w:p>
        </w:tc>
        <w:tc>
          <w:tcPr>
            <w:tcW w:w="708" w:type="dxa"/>
            <w:tcBorders>
              <w:top w:val="single" w:color="auto" w:sz="4" w:space="0"/>
            </w:tcBorders>
            <w:vAlign w:val="center"/>
          </w:tcPr>
          <w:p>
            <w:pPr>
              <w:spacing w:line="440" w:lineRule="exact"/>
              <w:jc w:val="center"/>
              <w:rPr>
                <w:rFonts w:eastAsia="宋体" w:cs="Times New Roman" w:asciiTheme="minorEastAsia" w:hAnsiTheme="minorEastAsia"/>
                <w:kern w:val="0"/>
                <w:sz w:val="20"/>
                <w:szCs w:val="21"/>
              </w:rPr>
            </w:pPr>
          </w:p>
        </w:tc>
      </w:tr>
    </w:tbl>
    <w:p>
      <w:pPr>
        <w:adjustRightInd w:val="0"/>
        <w:snapToGrid w:val="0"/>
        <w:spacing w:line="440" w:lineRule="exact"/>
        <w:rPr>
          <w:rFonts w:ascii="宋体" w:hAnsi="宋体" w:eastAsia="宋体" w:cs="Times New Roman"/>
          <w:kern w:val="0"/>
          <w:sz w:val="28"/>
          <w:szCs w:val="28"/>
        </w:rPr>
      </w:pPr>
    </w:p>
    <w:p>
      <w:pPr>
        <w:widowControl/>
        <w:adjustRightInd w:val="0"/>
        <w:snapToGrid w:val="0"/>
        <w:spacing w:line="440" w:lineRule="exact"/>
        <w:ind w:firstLine="566" w:firstLineChars="245"/>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4.评审委员会评审程序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(2)资格性审查。依据法律、法规和招标文件的规定，对投标文件中的资格证明、投标保证金等进行审查，以确定投标人是否具备投标资格，具体审查项目见表1。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(3)符合性审查。依据招标文件的规定，从投标文件的有效性、完整性和对招标文件的响应程度进行审查，以确定投标人是否对招标文件做出实质性响应，具体审查项目见表1。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解释与澄清。对投标文件中含义不明确、同类问题表述不一致或者有明显文字和计算错误的内容，评审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①开标时未宣读的投标价格、价格折扣和招标文件允许提供的备选投标方案等实质内容；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②投标文件中不响应招标文件规定的技术参数指标和商务应答；</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③投标文件中未提供的证明其是否符合招标文件资格性、符合性规定要求的相关材料。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评审过程中，评审委员会认为招标文件有关事项表述不明确或者需要说明的，可以要求招标人书面解释。招标人应当给予书面解释，但不得改变招标文件的原义或者影响公平、公正评审。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(6)商务、技术评审。按照招标文件中规定的评标方法和标准，对资格性审查和符合性审查合格的投标文件（不含价格文件）进行商务和技术评审。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技术、商务评委应当独立评审。其中，技术评委只能按照技术评审标准进行技术评分，商务评委只能按照商务评审标准进行商务评分。独立评审前，评审委员会成员不得集体商议、沟通、协调，技术、商务评审方面存有歧义的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价格评审。待商务、技术评审结束后，工作人员再将价格文件交评审委员会评审。存在低价恶意竞争的，由评审委员会全体成员按前款（六）投标报价有关要求认定；不存在低价恶意竞争的，由商务评委依据评审方法和评审标准对价格文件进行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复核评审情况。评审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(9)评审委员会依据经过复核的评审结果，对投标人进行排序并推荐预中标人。本项目只确认一家中标供应商。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出具评标报告。评审委员会根据全体成员签字的原始评标记录和评审结果编写评标报告。评标报告主要内容由评审委员会全体成员逐页签字确认。评审委员会成员对需要共同认定的事项存在争议的，按照少数服从多数的原则做出结论。持不同意见的评审委员会成员应当在评标报告上签署不同意见并说明理由；只签字未写明不同意见或者只写明不同意见未说明理由的，视为无意见；不签字的，不影响评标报告的有效性。评标报告应当包括下列主要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①开标日期和地点；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②获取招标文件供应商名单、投标人名单和评审委员会成员名单；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③评标方法；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④开标记录和评标情况及说明，包括无效投标人名单及原因；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⑤评标结果和候选中标人排序、报价汇总表，以及推荐候选中标人的理由，尤其是报价最高且预中标的、报价最低未预中标的情形，超预算以及投标文件被认定为无效的、废标的和终止评审等情形，评审委员会应当进行重点复核、分析原因，并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⑥评审委员会授标建议。</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宣布评标结果。评标结果由评审委员会主任在评标现场向参与采购活动的投标人当场公布，且不得更改。公布的内容至少应包含预中标人名称、排序和投标报价，以及无效投标人名称和无效投标理由。投标人对评标结果有疑义的，评审委员会应当现场予以解答。</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5.评审委员会对投标文件密封、签署、盖章等进行审查过程中，有下列情形，但其他方面符合要求，应当评定为不影响整个投标文件有效性和采购活动公平竞争，并通过投标文件的符合性审查：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(1)密封时未加盖、少加盖单位公章或者密封章，但是密封完好、完整标明了投标供应商名称且得到投标供应商（法定代表人或者授权代表）现场认可的；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hint="eastAsia" w:ascii="仿宋_GB2312" w:hAnsi="宋体" w:eastAsia="仿宋_GB2312" w:cs="Times New Roman"/>
          <w:kern w:val="0"/>
          <w:sz w:val="32"/>
          <w:szCs w:val="32"/>
        </w:rPr>
        <w:t xml:space="preserve"> </w:t>
      </w:r>
      <w:r>
        <w:rPr>
          <w:rFonts w:hint="eastAsia" w:ascii="宋体" w:hAnsi="宋体" w:eastAsia="宋体" w:cs="Times New Roman"/>
          <w:kern w:val="0"/>
          <w:sz w:val="24"/>
          <w:szCs w:val="24"/>
        </w:rPr>
        <w:t>投标书、资格证明文件正副本数量齐全、密封完好，只是未按照招标文件要求进行分装、统装的；价格文件内容完整、单独密封，只是未按招标文件要求胶装成册的</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(3)存在个别地方（总数不超过2个且占应签字地方的比例不超过20%）没有法定代表人签字，但有法定代表人的私人印章或者授权代表有效签字的；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(4)除招标文件明确要求加盖供应商（法人）公章的以外，其他地方以相关专用章加盖的。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6.在商务评审过程中，有下列情形之一者，其投标将被否决：</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(1)投标人或其制造商与招标人有利害关系可能影响招标公正性的；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(2)投标人参与项目前期咨询或招标文件编制的；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(3)不同投标人单位负责人为同一人或者存在控股、管理关系的；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(4)投标文件未按招标文件的要求签署的；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(5)投标人的投标书、资格证明材料未提供，或不符合国家规定或者招标文件要求的；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(6)同一投标人提交两个以上不同的投标方案或者投标报价的，但招标文件要求提交备选方案的除外；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(7)投标文件不满足招标文件加注星号（“★”）的关键商务条款要求的；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(8)投标人有串通投标、弄虚作假、行贿等违法行为的；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(9)存在招标文件中规定的否决投标的其他商务条款的。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7.技术评审过程中，有下列情形之一者，其投标将被否决：</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(1)投标文件不满足招标文件技术要求中加注星号（“★”）的关键条款（参数）要求，或加注星号（“★”）的关键条款（参数）无符合招标文件要求的技术资料支持的；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(2)投标文件技术规格中一般参数超出允许偏离的最大范围或最多项数的；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(3)投标文件技术规格中的响应与事实不符或虚假投标的；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(4)投标人复制招标文件的技术规格相关部分内容作为其投标文件中一部分的；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(5)存在招标文件中规定的否决投标的其他技术条款的。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8.投标人及其投标文件有下列情形之一的，在符合性审查时按照无效投标处理：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(1)未按照招标文件规定要求密封、签署、盖章的（前述第5条情形除外）；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(2)投标文件组成明显不符合招标文件的规定要求，影响评审委员会评判的；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(3)投标有效期不符合招标文件要求的；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(4)其他未满足对投标文件有效性、完整性和对招标文件响应程度要求的情形。</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9.投标人及其投标文件有下列情形之一的，在资格性审查时按照无效投标处理：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(1)不具备招标文件中规定的资格性要求的；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(2)法定代表人授权不符合要求的；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(3)属于禁止参加投标的供应商的；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(4)不符合法律、法规、规章规定的资格性要求的；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(5)供应商授权代理人参加我院采购活动，致使该供应商受到处罚期间，该代理人代理其他供应商参加我院采购活动的；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(6)代理人同期（180天以内）代理2家以上供应商参加我院采购活动的。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10.有下列情形之一的，属于投标人相互串通投标，评审委员会应当对串标人按照无效投标处理：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(1)投标人之间协商投标报价等投标文件的实质性内容的；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(2)投标人之间约定中标人的；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(3)投标人之间约定部分投标人放弃投标或者中标的；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(4)属于同一集团、协会、商会等组织成员的投标人按照该组织要求协同投标的；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(5)投标人之间为谋取中标或者排斥特定投标人而采取其他联合行动的。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11.有下列情形之一的，视为投标人相互串通投标，评审委员会应当对串标人按照无效投标处理：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(1)不同投标人的投标文件由同一单位或者个人编制的；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(2)不同投标人委托同一单位或者个人办理投标事宜的；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(3)不同投标人的投标文件载明的项目管理成员为同一人的；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(4)不同投标人的投标文件异常一致或者投标报价呈规律性差异的；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(5)不同投标人的投标文件相互混装的；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12.有下列情形之一的，属于招标人与投标人串通投标，评审委员会应当对串标投标人按照无效投标处理：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(1)招标人在开标前开启投标文件并将有关信息泄露给其他投标人的；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(2)招标人直接或者间接向投标人泄露采购预算、评审委员会成员等信息的；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(3)招标人明示或者暗示投标人压低或者抬高投标报价的；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(4)招标人授意投标人撤换、修改投标文件的；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(5)招标人明示或者暗示投标人为特定投标人中标提供方便的；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(6)招标人与投标人为谋求特定投标人中标而采取其他串通行为的。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13.有下列情形之一的，属于虚假投标，评审委员会应当对投标人按照无效投标处理：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(1)使用通过受让或者租借等方式获取资格、资质证书投标的；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(2)使用伪造、变造的许可证件的；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(3)提供虚假的财务状况或者业绩的；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(4)提供虚假的项目负责人或者主要技术人员简历、劳动关系证明的；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(5)提供虚假信用状况的；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(6)提供虚假样品或借用、冒用其他供应商样品的；</w:t>
      </w: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w:t>
      </w:r>
      <w:r>
        <w:rPr>
          <w:rFonts w:hint="eastAsia" w:cs="Times New Roman" w:asciiTheme="minorEastAsia" w:hAnsiTheme="minorEastAsia"/>
          <w:kern w:val="0"/>
          <w:sz w:val="24"/>
          <w:szCs w:val="24"/>
        </w:rPr>
        <w:t>7</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其他弄虚作假行为的。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14.有下列情形之一的，按照废标处理：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(1)出现影响采购公平公正的违法、违规行为的；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(2)因重大变故，取消采购任务的。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15.开标后对下列情况，招标人以及评审委员会按照《军队物资采购评审管理办法》相关规定处理。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(1)经评审满足招标文件要求的投标供应商只有2家的，评审委员会应当分析原因。评审委员会（五分之四以上评委）认定投标人报价客观合理的，应当在评标报告中注明，</w:t>
      </w:r>
      <w:r>
        <w:rPr>
          <w:rFonts w:hint="eastAsia" w:ascii="宋体" w:hAnsi="宋体" w:eastAsia="宋体" w:cs="Times New Roman"/>
          <w:kern w:val="0"/>
          <w:sz w:val="24"/>
          <w:szCs w:val="24"/>
        </w:rPr>
        <w:t>采购机构报采购管理部门审批同意后，可直接比照竞争性谈判方式</w:t>
      </w:r>
      <w:r>
        <w:rPr>
          <w:rFonts w:hint="eastAsia" w:cs="Times New Roman" w:asciiTheme="minorEastAsia" w:hAnsiTheme="minorEastAsia"/>
          <w:kern w:val="0"/>
          <w:sz w:val="24"/>
          <w:szCs w:val="24"/>
        </w:rPr>
        <w:t>，按照至少2轮谈判、供应商3次报价程序，采用原评审方法及评审标准组织评审。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经评审满足招标文件要求的投标人只有1家时，评审委员会（五分之四以上评委）认定投标人满足单一来源条件的，应当在评标报告中注明；招标人应当将该项目在网上公示1周（涉密项目除外），无其他供应商响应时，报采购管理部门申请变更采购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评审委员会（五分之四以上评委）认定采购项目技术指标参数、采购预算编制等方面存在问题，或者认定采购竞争不够充分的，应当予以废标，并在评标报告中注明；招标人应当报采购管理部门处理或者重新组织招标。</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人报价均超采购预算的，评审委员会应当分析原因；一般情况下视为需求部门（单位）不能支付，应当予以废标。评审委员会（五分之四以上评委）认定投标人报价客观合理的，可以继续评审，并出具评标报告。</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(6)同一需求部门（单位）同一经费来源的同类物资，部分产品单价或者金额超采购预算，但中标总金额未超采购预算的，不视为需求部门（单位）不能支付。</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16.经评审委员会评审，认为所有投标都不符合招标文件要求的，评审委员会将否决所有投标，招标人有权重新组织招标。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六、</w:t>
      </w:r>
      <w:r>
        <w:rPr>
          <w:rFonts w:cs="Times New Roman" w:asciiTheme="minorEastAsia" w:hAnsiTheme="minorEastAsia"/>
          <w:kern w:val="0"/>
          <w:sz w:val="24"/>
          <w:szCs w:val="24"/>
        </w:rPr>
        <w:t>质疑与投诉</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（二）质疑由我院物资采购中心受理，投诉由我院采购领导小组办公室受理。供应商投诉事项应当是经过质疑的事项，未质疑的事项，投诉不予受理。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（三）招标人</w:t>
      </w:r>
      <w:r>
        <w:rPr>
          <w:rFonts w:cs="Times New Roman" w:asciiTheme="minorEastAsia" w:hAnsiTheme="minorEastAsia"/>
          <w:kern w:val="0"/>
          <w:sz w:val="24"/>
          <w:szCs w:val="24"/>
        </w:rPr>
        <w:t>质疑</w:t>
      </w:r>
      <w:r>
        <w:rPr>
          <w:rFonts w:hint="eastAsia" w:cs="Times New Roman" w:asciiTheme="minorEastAsia" w:hAnsiTheme="minorEastAsia"/>
          <w:kern w:val="0"/>
          <w:sz w:val="24"/>
          <w:szCs w:val="24"/>
        </w:rPr>
        <w:t>处理</w:t>
      </w:r>
      <w:r>
        <w:rPr>
          <w:rFonts w:cs="Times New Roman" w:asciiTheme="minorEastAsia" w:hAnsiTheme="minorEastAsia"/>
          <w:kern w:val="0"/>
          <w:sz w:val="24"/>
          <w:szCs w:val="24"/>
        </w:rPr>
        <w:t>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cs="Times New Roman" w:asciiTheme="minorEastAsia" w:hAnsiTheme="minorEastAsia"/>
          <w:kern w:val="0"/>
          <w:sz w:val="24"/>
          <w:szCs w:val="24"/>
        </w:rPr>
        <w:t>联系人：</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甘老师、杨老师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电</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话：</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023-68766148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地</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址：</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重庆市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邮  编：</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400038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（四）供应商认为招标文件存在限制性、倾向性、排他性条款，使自己权益受到损害的，可以在投标截止时间10日前向物资采购中心提出书面质疑和相关证明材料。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（五）供应商</w:t>
      </w:r>
      <w:r>
        <w:rPr>
          <w:rFonts w:cs="Times New Roman" w:asciiTheme="minorEastAsia" w:hAnsiTheme="minorEastAsia"/>
          <w:kern w:val="0"/>
          <w:sz w:val="24"/>
          <w:szCs w:val="24"/>
        </w:rPr>
        <w:t>认为下列事项使自己权益受到损害的，</w:t>
      </w:r>
      <w:r>
        <w:rPr>
          <w:rFonts w:hint="eastAsia" w:cs="Times New Roman" w:asciiTheme="minorEastAsia" w:hAnsiTheme="minorEastAsia"/>
          <w:kern w:val="0"/>
          <w:sz w:val="24"/>
          <w:szCs w:val="24"/>
        </w:rPr>
        <w:t>可以</w:t>
      </w:r>
      <w:r>
        <w:rPr>
          <w:rFonts w:cs="Times New Roman" w:asciiTheme="minorEastAsia" w:hAnsiTheme="minorEastAsia"/>
          <w:kern w:val="0"/>
          <w:sz w:val="24"/>
          <w:szCs w:val="24"/>
        </w:rPr>
        <w:t>在评审结果公示期内，向</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提出书面质疑</w:t>
      </w:r>
      <w:r>
        <w:rPr>
          <w:rFonts w:hint="eastAsia" w:cs="Times New Roman" w:asciiTheme="minorEastAsia" w:hAnsiTheme="minorEastAsia"/>
          <w:kern w:val="0"/>
          <w:sz w:val="24"/>
          <w:szCs w:val="24"/>
        </w:rPr>
        <w:t>和相关证明材料：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w:t>
      </w:r>
      <w:r>
        <w:rPr>
          <w:rFonts w:cs="Times New Roman" w:asciiTheme="minorEastAsia" w:hAnsiTheme="minorEastAsia"/>
          <w:kern w:val="0"/>
          <w:sz w:val="24"/>
          <w:szCs w:val="24"/>
        </w:rPr>
        <w:t>或者相关人员与供应商有利害关系，应当回避而没有回避的；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采购程序违反军队采购相关规定的；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w:t>
      </w:r>
      <w:r>
        <w:rPr>
          <w:rFonts w:cs="Times New Roman" w:asciiTheme="minorEastAsia" w:hAnsiTheme="minorEastAsia"/>
          <w:kern w:val="0"/>
          <w:sz w:val="24"/>
          <w:szCs w:val="24"/>
        </w:rPr>
        <w:t>之间</w:t>
      </w:r>
      <w:r>
        <w:rPr>
          <w:rFonts w:hint="eastAsia" w:cs="Times New Roman" w:asciiTheme="minorEastAsia" w:hAnsiTheme="minorEastAsia"/>
          <w:kern w:val="0"/>
          <w:sz w:val="24"/>
          <w:szCs w:val="24"/>
        </w:rPr>
        <w:t>或者招标人与投标人之间</w:t>
      </w:r>
      <w:r>
        <w:rPr>
          <w:rFonts w:cs="Times New Roman" w:asciiTheme="minorEastAsia" w:hAnsiTheme="minorEastAsia"/>
          <w:kern w:val="0"/>
          <w:sz w:val="24"/>
          <w:szCs w:val="24"/>
        </w:rPr>
        <w:t>存在串通行为的；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提供虚假资料</w:t>
      </w:r>
      <w:r>
        <w:rPr>
          <w:rFonts w:hint="eastAsia" w:cs="Times New Roman" w:asciiTheme="minorEastAsia" w:hAnsiTheme="minorEastAsia"/>
          <w:kern w:val="0"/>
          <w:sz w:val="24"/>
          <w:szCs w:val="24"/>
        </w:rPr>
        <w:t>骗取中标</w:t>
      </w:r>
      <w:r>
        <w:rPr>
          <w:rFonts w:cs="Times New Roman" w:asciiTheme="minorEastAsia" w:hAnsiTheme="minorEastAsia"/>
          <w:kern w:val="0"/>
          <w:sz w:val="24"/>
          <w:szCs w:val="24"/>
        </w:rPr>
        <w:t>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w:t>
      </w:r>
      <w:r>
        <w:rPr>
          <w:rFonts w:cs="Times New Roman" w:asciiTheme="minorEastAsia" w:hAnsiTheme="minorEastAsia"/>
          <w:kern w:val="0"/>
          <w:sz w:val="24"/>
          <w:szCs w:val="24"/>
        </w:rPr>
        <w:t>违反采购相关法律法规使自己权益受到损害的其他事项。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（六）</w:t>
      </w:r>
      <w:r>
        <w:rPr>
          <w:rFonts w:cs="Times New Roman" w:asciiTheme="minorEastAsia" w:hAnsiTheme="minorEastAsia"/>
          <w:kern w:val="0"/>
          <w:sz w:val="24"/>
          <w:szCs w:val="24"/>
        </w:rPr>
        <w:t>书面质疑</w:t>
      </w:r>
      <w:r>
        <w:rPr>
          <w:rFonts w:hint="eastAsia" w:cs="Times New Roman" w:asciiTheme="minorEastAsia" w:hAnsiTheme="minorEastAsia"/>
          <w:kern w:val="0"/>
          <w:sz w:val="24"/>
          <w:szCs w:val="24"/>
        </w:rPr>
        <w:t>应</w:t>
      </w:r>
      <w:r>
        <w:rPr>
          <w:rFonts w:cs="Times New Roman" w:asciiTheme="minorEastAsia" w:hAnsiTheme="minorEastAsia"/>
          <w:kern w:val="0"/>
          <w:sz w:val="24"/>
          <w:szCs w:val="24"/>
        </w:rPr>
        <w:t>由法定代表人签字</w:t>
      </w:r>
      <w:r>
        <w:rPr>
          <w:rFonts w:hint="eastAsia" w:cs="Times New Roman" w:asciiTheme="minorEastAsia" w:hAnsiTheme="minorEastAsia"/>
          <w:kern w:val="0"/>
          <w:sz w:val="24"/>
          <w:szCs w:val="24"/>
        </w:rPr>
        <w:t>并</w:t>
      </w:r>
      <w:r>
        <w:rPr>
          <w:rFonts w:cs="Times New Roman" w:asciiTheme="minorEastAsia" w:hAnsiTheme="minorEastAsia"/>
          <w:kern w:val="0"/>
          <w:sz w:val="24"/>
          <w:szCs w:val="24"/>
        </w:rPr>
        <w:t>加盖单位公章，同时出具法定代表人资格证明书</w:t>
      </w:r>
      <w:r>
        <w:rPr>
          <w:rFonts w:hint="eastAsia" w:cs="Times New Roman" w:asciiTheme="minorEastAsia" w:hAnsiTheme="minorEastAsia"/>
          <w:kern w:val="0"/>
          <w:sz w:val="24"/>
          <w:szCs w:val="24"/>
        </w:rPr>
        <w:t>。</w:t>
      </w:r>
      <w:r>
        <w:rPr>
          <w:rFonts w:cs="Times New Roman" w:asciiTheme="minorEastAsia" w:hAnsiTheme="minorEastAsia"/>
          <w:kern w:val="0"/>
          <w:sz w:val="24"/>
          <w:szCs w:val="24"/>
        </w:rPr>
        <w:t>由</w:t>
      </w:r>
      <w:r>
        <w:rPr>
          <w:rFonts w:hint="eastAsia" w:cs="Times New Roman" w:asciiTheme="minorEastAsia" w:hAnsiTheme="minorEastAsia"/>
          <w:kern w:val="0"/>
          <w:sz w:val="24"/>
          <w:szCs w:val="24"/>
        </w:rPr>
        <w:t>全权代表</w:t>
      </w:r>
      <w:r>
        <w:rPr>
          <w:rFonts w:cs="Times New Roman" w:asciiTheme="minorEastAsia" w:hAnsiTheme="minorEastAsia"/>
          <w:kern w:val="0"/>
          <w:sz w:val="24"/>
          <w:szCs w:val="24"/>
        </w:rPr>
        <w:t>签字的，必须有法定代表人授权</w:t>
      </w:r>
      <w:r>
        <w:rPr>
          <w:rFonts w:hint="eastAsia" w:cs="Times New Roman" w:asciiTheme="minorEastAsia" w:hAnsiTheme="minorEastAsia"/>
          <w:kern w:val="0"/>
          <w:sz w:val="24"/>
          <w:szCs w:val="24"/>
        </w:rPr>
        <w:t>书和</w:t>
      </w:r>
      <w:r>
        <w:rPr>
          <w:rFonts w:cs="Times New Roman" w:asciiTheme="minorEastAsia" w:hAnsiTheme="minorEastAsia"/>
          <w:kern w:val="0"/>
          <w:sz w:val="24"/>
          <w:szCs w:val="24"/>
        </w:rPr>
        <w:t>法定代表人资格证明书</w:t>
      </w:r>
      <w:r>
        <w:rPr>
          <w:rFonts w:hint="eastAsia" w:cs="Times New Roman" w:asciiTheme="minorEastAsia" w:hAnsiTheme="minorEastAsia"/>
          <w:kern w:val="0"/>
          <w:sz w:val="24"/>
          <w:szCs w:val="24"/>
        </w:rPr>
        <w:t>，并</w:t>
      </w:r>
      <w:r>
        <w:rPr>
          <w:rFonts w:cs="Times New Roman" w:asciiTheme="minorEastAsia" w:hAnsiTheme="minorEastAsia"/>
          <w:kern w:val="0"/>
          <w:sz w:val="24"/>
          <w:szCs w:val="24"/>
        </w:rPr>
        <w:t>加盖单位公章</w:t>
      </w:r>
      <w:r>
        <w:rPr>
          <w:rFonts w:hint="eastAsia" w:cs="Times New Roman" w:asciiTheme="minorEastAsia" w:hAnsiTheme="minorEastAsia"/>
          <w:kern w:val="0"/>
          <w:sz w:val="24"/>
          <w:szCs w:val="24"/>
        </w:rPr>
        <w:t>。书面</w:t>
      </w:r>
      <w:r>
        <w:rPr>
          <w:rFonts w:cs="Times New Roman" w:asciiTheme="minorEastAsia" w:hAnsiTheme="minorEastAsia"/>
          <w:kern w:val="0"/>
          <w:sz w:val="24"/>
          <w:szCs w:val="24"/>
        </w:rPr>
        <w:t>质疑主要包括下列内容：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1.质疑的采购项目名称和项目编号；</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质疑</w:t>
      </w:r>
      <w:r>
        <w:rPr>
          <w:rFonts w:hint="eastAsia" w:cs="Times New Roman" w:asciiTheme="minorEastAsia" w:hAnsiTheme="minorEastAsia"/>
          <w:kern w:val="0"/>
          <w:sz w:val="24"/>
          <w:szCs w:val="24"/>
        </w:rPr>
        <w:t>人</w:t>
      </w:r>
      <w:r>
        <w:rPr>
          <w:rFonts w:cs="Times New Roman" w:asciiTheme="minorEastAsia" w:hAnsiTheme="minorEastAsia"/>
          <w:kern w:val="0"/>
          <w:sz w:val="24"/>
          <w:szCs w:val="24"/>
        </w:rPr>
        <w:t>和被质疑人的名称，质疑人的地址、联系方式等；</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具体的质疑事项、事实依据及相关证明材料；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提起质疑的日期。</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（七）</w:t>
      </w:r>
      <w:r>
        <w:rPr>
          <w:rFonts w:cs="Times New Roman" w:asciiTheme="minorEastAsia" w:hAnsiTheme="minorEastAsia"/>
          <w:kern w:val="0"/>
          <w:sz w:val="24"/>
          <w:szCs w:val="24"/>
        </w:rPr>
        <w:t>质疑有以下情形之一的，不予受理：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1.未按规定程序和渠道提出质疑的；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超</w:t>
      </w:r>
      <w:r>
        <w:rPr>
          <w:rFonts w:hint="eastAsia" w:cs="Times New Roman" w:asciiTheme="minorEastAsia" w:hAnsiTheme="minorEastAsia"/>
          <w:kern w:val="0"/>
          <w:sz w:val="24"/>
          <w:szCs w:val="24"/>
        </w:rPr>
        <w:t>过</w:t>
      </w:r>
      <w:r>
        <w:rPr>
          <w:rFonts w:cs="Times New Roman" w:asciiTheme="minorEastAsia" w:hAnsiTheme="minorEastAsia"/>
          <w:kern w:val="0"/>
          <w:sz w:val="24"/>
          <w:szCs w:val="24"/>
        </w:rPr>
        <w:t>质疑限期</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3.书面</w:t>
      </w:r>
      <w:r>
        <w:rPr>
          <w:rFonts w:cs="Times New Roman" w:asciiTheme="minorEastAsia" w:hAnsiTheme="minorEastAsia"/>
          <w:kern w:val="0"/>
          <w:sz w:val="24"/>
          <w:szCs w:val="24"/>
        </w:rPr>
        <w:t>质疑的形式和内容不符合</w:t>
      </w:r>
      <w:r>
        <w:rPr>
          <w:rFonts w:hint="eastAsia" w:cs="Times New Roman" w:asciiTheme="minorEastAsia" w:hAnsiTheme="minorEastAsia"/>
          <w:kern w:val="0"/>
          <w:sz w:val="24"/>
          <w:szCs w:val="24"/>
        </w:rPr>
        <w:t>上述要求的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提出的质疑事项已经明确答复的；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w:t>
      </w:r>
      <w:r>
        <w:rPr>
          <w:rFonts w:cs="Times New Roman" w:asciiTheme="minorEastAsia" w:hAnsiTheme="minorEastAsia"/>
          <w:kern w:val="0"/>
          <w:sz w:val="24"/>
          <w:szCs w:val="24"/>
        </w:rPr>
        <w:t>法律法规规定的其他不予受理的条件。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（八）物资采购中心</w:t>
      </w:r>
      <w:r>
        <w:rPr>
          <w:rFonts w:cs="Times New Roman" w:asciiTheme="minorEastAsia" w:hAnsiTheme="minorEastAsia"/>
          <w:kern w:val="0"/>
          <w:sz w:val="24"/>
          <w:szCs w:val="24"/>
        </w:rPr>
        <w:t>应当自质疑签收之日起</w:t>
      </w:r>
      <w:r>
        <w:rPr>
          <w:rFonts w:hint="eastAsia" w:cs="Times New Roman" w:asciiTheme="minorEastAsia" w:hAnsiTheme="minorEastAsia"/>
          <w:kern w:val="0"/>
          <w:sz w:val="24"/>
          <w:szCs w:val="24"/>
        </w:rPr>
        <w:t>7</w:t>
      </w:r>
      <w:r>
        <w:rPr>
          <w:rFonts w:cs="Times New Roman" w:asciiTheme="minorEastAsia" w:hAnsiTheme="minorEastAsia"/>
          <w:kern w:val="0"/>
          <w:sz w:val="24"/>
          <w:szCs w:val="24"/>
        </w:rPr>
        <w:t>个工作日内做出书面答复。答复内容同时通知与处理结果有关的供应商，但答复内容不得涉及供应商的商业秘密。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在作出书面答复之前，可以采取现场解答的方式向</w:t>
      </w:r>
      <w:r>
        <w:rPr>
          <w:rFonts w:hint="eastAsia" w:cs="Times New Roman" w:asciiTheme="minorEastAsia" w:hAnsiTheme="minorEastAsia"/>
          <w:kern w:val="0"/>
          <w:sz w:val="24"/>
          <w:szCs w:val="24"/>
        </w:rPr>
        <w:t>质疑人</w:t>
      </w:r>
      <w:r>
        <w:rPr>
          <w:rFonts w:cs="Times New Roman" w:asciiTheme="minorEastAsia" w:hAnsiTheme="minorEastAsia"/>
          <w:kern w:val="0"/>
          <w:sz w:val="24"/>
          <w:szCs w:val="24"/>
        </w:rPr>
        <w:t>通报初步处理结果。供应商认可处理结果的，可在出具书面申请后撤回质疑或者放弃质疑，</w:t>
      </w:r>
      <w:r>
        <w:rPr>
          <w:rFonts w:hint="eastAsia" w:cs="Times New Roman" w:asciiTheme="minorEastAsia" w:hAnsiTheme="minorEastAsia"/>
          <w:kern w:val="0"/>
          <w:sz w:val="24"/>
          <w:szCs w:val="24"/>
        </w:rPr>
        <w:t>质疑处理机构</w:t>
      </w:r>
      <w:r>
        <w:rPr>
          <w:rFonts w:cs="Times New Roman" w:asciiTheme="minorEastAsia" w:hAnsiTheme="minorEastAsia"/>
          <w:kern w:val="0"/>
          <w:sz w:val="24"/>
          <w:szCs w:val="24"/>
        </w:rPr>
        <w:t>不再进行书面答复。</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（九）供应商</w:t>
      </w:r>
      <w:r>
        <w:rPr>
          <w:rFonts w:cs="Times New Roman" w:asciiTheme="minorEastAsia" w:hAnsiTheme="minorEastAsia"/>
          <w:kern w:val="0"/>
          <w:sz w:val="24"/>
          <w:szCs w:val="24"/>
        </w:rPr>
        <w:t>质疑有下列情形之一的，视为无效质疑，</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应当驳回质疑：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cs="Times New Roman" w:asciiTheme="minorEastAsia" w:hAnsiTheme="minorEastAsia"/>
          <w:kern w:val="0"/>
          <w:sz w:val="24"/>
          <w:szCs w:val="24"/>
        </w:rPr>
        <w:t>无具体的质疑事项，或者质疑事项缺乏事实和法律依据</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质疑内容涉及评审工作细节、其他供应商</w:t>
      </w:r>
      <w:r>
        <w:rPr>
          <w:rFonts w:hint="eastAsia" w:cs="Times New Roman" w:asciiTheme="minorEastAsia" w:hAnsiTheme="minorEastAsia"/>
          <w:kern w:val="0"/>
          <w:sz w:val="24"/>
          <w:szCs w:val="24"/>
        </w:rPr>
        <w:t>投标</w:t>
      </w:r>
      <w:r>
        <w:rPr>
          <w:rFonts w:cs="Times New Roman" w:asciiTheme="minorEastAsia" w:hAnsiTheme="minorEastAsia"/>
          <w:kern w:val="0"/>
          <w:sz w:val="24"/>
          <w:szCs w:val="24"/>
        </w:rPr>
        <w:t>资料等保密事项且无法提供信息的合法来源</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质疑已经处理并明确答复后，质疑人就同一事项再次提起质疑且未提供新的有效证据</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应当对供应商无效质疑情况记录存档</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（十）供应商</w:t>
      </w:r>
      <w:r>
        <w:rPr>
          <w:rFonts w:cs="Times New Roman" w:asciiTheme="minorEastAsia" w:hAnsiTheme="minorEastAsia"/>
          <w:kern w:val="0"/>
          <w:sz w:val="24"/>
          <w:szCs w:val="24"/>
        </w:rPr>
        <w:t>进行虚假和恶意质疑，干扰</w:t>
      </w:r>
      <w:r>
        <w:rPr>
          <w:rFonts w:hint="eastAsia" w:cs="Times New Roman" w:asciiTheme="minorEastAsia" w:hAnsiTheme="minorEastAsia"/>
          <w:kern w:val="0"/>
          <w:sz w:val="24"/>
          <w:szCs w:val="24"/>
        </w:rPr>
        <w:t>我院</w:t>
      </w:r>
      <w:r>
        <w:rPr>
          <w:rFonts w:cs="Times New Roman" w:asciiTheme="minorEastAsia" w:hAnsiTheme="minorEastAsia"/>
          <w:kern w:val="0"/>
          <w:sz w:val="24"/>
          <w:szCs w:val="24"/>
        </w:rPr>
        <w:t>采购活动的，</w:t>
      </w:r>
      <w:r>
        <w:rPr>
          <w:rFonts w:hint="eastAsia" w:cs="Times New Roman" w:asciiTheme="minorEastAsia" w:hAnsiTheme="minorEastAsia"/>
          <w:kern w:val="0"/>
          <w:sz w:val="24"/>
          <w:szCs w:val="24"/>
        </w:rPr>
        <w:t>物资采购中心可以申请上级采购管理部门作出处罚。</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（十一）</w:t>
      </w:r>
      <w:r>
        <w:rPr>
          <w:rFonts w:cs="Times New Roman" w:asciiTheme="minorEastAsia" w:hAnsiTheme="minorEastAsia"/>
          <w:kern w:val="0"/>
          <w:sz w:val="24"/>
          <w:szCs w:val="24"/>
        </w:rPr>
        <w:t>对</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的书面答复及处理结果不满意，</w:t>
      </w:r>
      <w:r>
        <w:rPr>
          <w:rFonts w:hint="eastAsia" w:cs="Times New Roman" w:asciiTheme="minorEastAsia" w:hAnsiTheme="minorEastAsia"/>
          <w:kern w:val="0"/>
          <w:sz w:val="24"/>
          <w:szCs w:val="24"/>
        </w:rPr>
        <w:t>或者质疑处理机构未答复以及未在规定期限内作出答复的，</w:t>
      </w:r>
      <w:r>
        <w:rPr>
          <w:rFonts w:cs="Times New Roman" w:asciiTheme="minorEastAsia" w:hAnsiTheme="minorEastAsia"/>
          <w:kern w:val="0"/>
          <w:sz w:val="24"/>
          <w:szCs w:val="24"/>
        </w:rPr>
        <w:t>质疑人可以在</w:t>
      </w:r>
      <w:r>
        <w:rPr>
          <w:rFonts w:hint="eastAsia" w:cs="Times New Roman" w:asciiTheme="minorEastAsia" w:hAnsiTheme="minorEastAsia"/>
          <w:kern w:val="0"/>
          <w:sz w:val="24"/>
          <w:szCs w:val="24"/>
        </w:rPr>
        <w:t>质疑</w:t>
      </w:r>
      <w:r>
        <w:rPr>
          <w:rFonts w:cs="Times New Roman" w:asciiTheme="minorEastAsia" w:hAnsiTheme="minorEastAsia"/>
          <w:kern w:val="0"/>
          <w:sz w:val="24"/>
          <w:szCs w:val="24"/>
        </w:rPr>
        <w:t>答复</w:t>
      </w:r>
      <w:r>
        <w:rPr>
          <w:rFonts w:hint="eastAsia" w:cs="Times New Roman" w:asciiTheme="minorEastAsia" w:hAnsiTheme="minorEastAsia"/>
          <w:kern w:val="0"/>
          <w:sz w:val="24"/>
          <w:szCs w:val="24"/>
        </w:rPr>
        <w:t>期满</w:t>
      </w:r>
      <w:r>
        <w:rPr>
          <w:rFonts w:cs="Times New Roman" w:asciiTheme="minorEastAsia" w:hAnsiTheme="minorEastAsia"/>
          <w:kern w:val="0"/>
          <w:sz w:val="24"/>
          <w:szCs w:val="24"/>
        </w:rPr>
        <w:t>之日起</w:t>
      </w:r>
      <w:r>
        <w:rPr>
          <w:rFonts w:hint="eastAsia" w:cs="Times New Roman" w:asciiTheme="minorEastAsia" w:hAnsiTheme="minorEastAsia"/>
          <w:kern w:val="0"/>
          <w:sz w:val="24"/>
          <w:szCs w:val="24"/>
        </w:rPr>
        <w:t>15</w:t>
      </w:r>
      <w:r>
        <w:rPr>
          <w:rFonts w:cs="Times New Roman" w:asciiTheme="minorEastAsia" w:hAnsiTheme="minorEastAsia"/>
          <w:kern w:val="0"/>
          <w:sz w:val="24"/>
          <w:szCs w:val="24"/>
        </w:rPr>
        <w:t>个工作日内，向</w:t>
      </w:r>
      <w:r>
        <w:rPr>
          <w:rFonts w:hint="eastAsia" w:cs="Times New Roman" w:asciiTheme="minorEastAsia" w:hAnsiTheme="minorEastAsia"/>
          <w:kern w:val="0"/>
          <w:sz w:val="24"/>
          <w:szCs w:val="24"/>
        </w:rPr>
        <w:t>我院采购领导小组办公室</w:t>
      </w:r>
      <w:r>
        <w:rPr>
          <w:rFonts w:cs="Times New Roman" w:asciiTheme="minorEastAsia" w:hAnsiTheme="minorEastAsia"/>
          <w:kern w:val="0"/>
          <w:sz w:val="24"/>
          <w:szCs w:val="24"/>
        </w:rPr>
        <w:t>提出投诉。</w:t>
      </w:r>
    </w:p>
    <w:p>
      <w:pPr>
        <w:adjustRightInd w:val="0"/>
        <w:snapToGrid w:val="0"/>
        <w:spacing w:line="440" w:lineRule="exact"/>
        <w:ind w:firstLine="462" w:firstLineChars="200"/>
        <w:rPr>
          <w:rFonts w:cs="Times New Roman" w:asciiTheme="minorEastAsia" w:hAnsiTheme="minorEastAsia"/>
          <w:snapToGrid w:val="0"/>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七、定标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cs="Times New Roman" w:asciiTheme="minorEastAsia" w:hAnsiTheme="minorEastAsia"/>
          <w:kern w:val="0"/>
          <w:sz w:val="24"/>
          <w:szCs w:val="24"/>
        </w:rPr>
        <w:t>确定</w:t>
      </w:r>
      <w:r>
        <w:rPr>
          <w:rFonts w:hint="eastAsia" w:cs="Times New Roman" w:asciiTheme="minorEastAsia" w:hAnsiTheme="minorEastAsia"/>
          <w:kern w:val="0"/>
          <w:sz w:val="24"/>
          <w:szCs w:val="24"/>
        </w:rPr>
        <w:t>中标人</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1.评审结束后3个工作日内，招标人根据评审委员会提出的书面评标报告，在</w:t>
      </w:r>
      <w:r>
        <w:rPr>
          <w:rFonts w:hint="eastAsia" w:cs="Times New Roman" w:asciiTheme="majorEastAsia" w:hAnsiTheme="majorEastAsia" w:eastAsiaTheme="majorEastAsia"/>
          <w:kern w:val="0"/>
          <w:sz w:val="24"/>
          <w:szCs w:val="24"/>
        </w:rPr>
        <w:t>网</w:t>
      </w:r>
      <w:r>
        <w:rPr>
          <w:rFonts w:hint="eastAsia" w:cs="Times New Roman" w:asciiTheme="minorEastAsia" w:hAnsiTheme="minorEastAsia"/>
          <w:kern w:val="0"/>
          <w:sz w:val="24"/>
          <w:szCs w:val="24"/>
        </w:rPr>
        <w:t>上公示评审结果，公示期为3个工作日。在公示期内无异议的，且通过医院价格审核，确定该项目排名第一的投标人为招标项目中标人。公示期内有异议的，按照本须知“质疑与投诉”规定的程序处理。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2.招标人有权根据采购任务变更等实际情况调整中标数量。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（二）中标</w:t>
      </w:r>
      <w:r>
        <w:rPr>
          <w:rFonts w:cs="Times New Roman" w:asciiTheme="minorEastAsia" w:hAnsiTheme="minorEastAsia"/>
          <w:kern w:val="0"/>
          <w:sz w:val="24"/>
          <w:szCs w:val="24"/>
        </w:rPr>
        <w:t>通知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1.招标人在确定中标人后3个工作日内，以书面形式向中标人发出《中标通知书》。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2.《中标通知书》是签订合同草案的依据。若合同草案未获批准，招标人有权取消合同草案。</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中标</w:t>
      </w:r>
      <w:r>
        <w:rPr>
          <w:rFonts w:cs="Times New Roman" w:asciiTheme="minorEastAsia" w:hAnsiTheme="minorEastAsia"/>
          <w:kern w:val="0"/>
          <w:sz w:val="24"/>
          <w:szCs w:val="24"/>
        </w:rPr>
        <w:t>通知书》</w:t>
      </w:r>
      <w:r>
        <w:rPr>
          <w:rFonts w:hint="eastAsia" w:cs="Times New Roman" w:asciiTheme="minorEastAsia" w:hAnsiTheme="minorEastAsia"/>
          <w:kern w:val="0"/>
          <w:sz w:val="24"/>
          <w:szCs w:val="24"/>
        </w:rPr>
        <w:t>及签订的合同草案不能作为中标人启动生产或备货的依据，应待正式合同签订后再启动生产备货，否则，由此造成的后果由中标人自行承担。</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八、签订</w:t>
      </w:r>
      <w:r>
        <w:rPr>
          <w:rFonts w:cs="Times New Roman" w:asciiTheme="minorEastAsia" w:hAnsiTheme="minorEastAsia"/>
          <w:kern w:val="0"/>
          <w:sz w:val="24"/>
          <w:szCs w:val="24"/>
        </w:rPr>
        <w:t>合同</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中标人在招标人发出《中标通知书》之日起，按照招标人规定的时间、地点签订合同。未经招标人同意逾期不签订合同的，将取消中标人中标资格。</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（二）招标文件、中标人的投标文件、补充投标文件、澄清承诺、说明、补正和《中标通知书》等，均为签订合同的依据。</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（三）中标人应当按照合同约定履行义务，完成中标项目。中标人不得向他人转让中标项目，也不得将中标项目分包向他人转让或委托加工。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受到禁止参加军队、大学、医院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九、</w:t>
      </w:r>
      <w:r>
        <w:rPr>
          <w:rFonts w:cs="Times New Roman" w:asciiTheme="minorEastAsia" w:hAnsiTheme="minorEastAsia"/>
          <w:kern w:val="0"/>
          <w:sz w:val="24"/>
          <w:szCs w:val="24"/>
        </w:rPr>
        <w:t>产品</w:t>
      </w:r>
      <w:r>
        <w:rPr>
          <w:rFonts w:hint="eastAsia" w:cs="Times New Roman" w:asciiTheme="minorEastAsia" w:hAnsiTheme="minorEastAsia"/>
          <w:kern w:val="0"/>
          <w:sz w:val="24"/>
          <w:szCs w:val="24"/>
        </w:rPr>
        <w:t>质量</w:t>
      </w:r>
      <w:r>
        <w:rPr>
          <w:rFonts w:cs="Times New Roman" w:asciiTheme="minorEastAsia" w:hAnsiTheme="minorEastAsia"/>
          <w:kern w:val="0"/>
          <w:sz w:val="24"/>
          <w:szCs w:val="24"/>
        </w:rPr>
        <w:t>检验验收</w:t>
      </w:r>
    </w:p>
    <w:p>
      <w:pPr>
        <w:adjustRightInd w:val="0"/>
        <w:snapToGrid w:val="0"/>
        <w:spacing w:line="440" w:lineRule="exact"/>
        <w:ind w:firstLine="462" w:firstLineChars="200"/>
        <w:rPr>
          <w:rFonts w:cs="宋体" w:asciiTheme="minorEastAsia" w:hAnsiTheme="minorEastAsia"/>
          <w:snapToGrid w:val="0"/>
          <w:color w:val="0000FF"/>
          <w:kern w:val="0"/>
          <w:sz w:val="24"/>
          <w:szCs w:val="24"/>
          <w:lang w:val="zh-CN"/>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产品质量验收由合同甲方或者其指定（委托）的质检机构组织实施，中标人应予以积极配合。</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（二）验收方式</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1.产品到达指定地点后，合同甲方根据合同要求，进行外观验收，确认产地、规格、型号和数量。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2.</w:t>
      </w:r>
      <w:r>
        <w:rPr>
          <w:rFonts w:hint="eastAsia" w:ascii="方正仿宋_GBK" w:hAnsi="宋体" w:eastAsia="方正仿宋_GBK" w:cs="Times New Roman"/>
          <w:sz w:val="24"/>
          <w:szCs w:val="24"/>
        </w:rPr>
        <w:t xml:space="preserve"> </w:t>
      </w:r>
      <w:r>
        <w:rPr>
          <w:rFonts w:hint="eastAsia" w:cs="Times New Roman" w:asciiTheme="minorEastAsia" w:hAnsiTheme="minorEastAsia"/>
          <w:kern w:val="0"/>
          <w:sz w:val="24"/>
          <w:szCs w:val="24"/>
        </w:rPr>
        <w:t>产品</w:t>
      </w:r>
      <w:r>
        <w:rPr>
          <w:rFonts w:hint="eastAsia" w:ascii="宋体" w:hAnsi="宋体" w:eastAsia="宋体" w:cs="Times New Roman"/>
          <w:kern w:val="0"/>
          <w:sz w:val="24"/>
          <w:szCs w:val="24"/>
        </w:rPr>
        <w:t>安装、调试并正常使用后</w:t>
      </w:r>
      <w:r>
        <w:rPr>
          <w:rFonts w:hint="eastAsia" w:cs="Times New Roman" w:asciiTheme="minorEastAsia" w:hAnsiTheme="minorEastAsia"/>
          <w:kern w:val="0"/>
          <w:sz w:val="24"/>
          <w:szCs w:val="24"/>
        </w:rPr>
        <w:t>，由合同甲方或者其指定（委托）的质检机构出具验收合格证明。</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.验收依据：</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1）</w:t>
      </w:r>
      <w:r>
        <w:rPr>
          <w:rFonts w:hint="eastAsia" w:ascii="宋体" w:hAnsi="宋体" w:eastAsia="宋体" w:cs="Times New Roman"/>
          <w:kern w:val="0"/>
          <w:sz w:val="24"/>
          <w:szCs w:val="24"/>
        </w:rPr>
        <w:t>招标文件、投标文件</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2）</w:t>
      </w:r>
      <w:r>
        <w:rPr>
          <w:rFonts w:hint="eastAsia" w:ascii="宋体" w:hAnsi="宋体" w:eastAsia="宋体" w:cs="Times New Roman"/>
          <w:kern w:val="0"/>
          <w:sz w:val="24"/>
          <w:szCs w:val="24"/>
        </w:rPr>
        <w:t>采购合同及附件文本</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国家、行业的相应标准、规范</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中标人应将所提供货物的装箱清单、配件、随机工具、用户使用手册、维修手册、原厂保修卡等资料交付给合同甲方。</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（三）合同甲方认为需要对产品内在质量进行检测的，可以交由国家认证的权威检测机构检测。</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（四）如货物经验收不能达到招标约定的技术要求或质量标准，合同甲方有权退换货，并视作中标人不能交付货物而须支付违约赔偿金给合同甲方，合同甲方还可依法追究中标人的违约责任。</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十、</w:t>
      </w:r>
      <w:r>
        <w:rPr>
          <w:rFonts w:cs="Times New Roman" w:asciiTheme="minorEastAsia" w:hAnsiTheme="minorEastAsia"/>
          <w:kern w:val="0"/>
          <w:sz w:val="24"/>
          <w:szCs w:val="24"/>
        </w:rPr>
        <w:t>解释权限</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sectPr>
          <w:headerReference r:id="rId7" w:type="default"/>
          <w:pgSz w:w="11906" w:h="16838"/>
          <w:pgMar w:top="2098" w:right="1474" w:bottom="1985" w:left="1588" w:header="851" w:footer="992" w:gutter="0"/>
          <w:cols w:space="425" w:num="1"/>
          <w:docGrid w:type="linesAndChars" w:linePitch="579" w:charSpace="-1844"/>
        </w:sectPr>
      </w:pPr>
      <w:r>
        <w:rPr>
          <w:rFonts w:cs="Times New Roman" w:asciiTheme="minorEastAsia" w:hAnsiTheme="minorEastAsia"/>
          <w:kern w:val="0"/>
          <w:sz w:val="24"/>
          <w:szCs w:val="24"/>
        </w:rPr>
        <w:t>本</w:t>
      </w:r>
      <w:r>
        <w:rPr>
          <w:rFonts w:hint="eastAsia" w:cs="Times New Roman" w:asciiTheme="minorEastAsia" w:hAnsiTheme="minorEastAsia"/>
          <w:kern w:val="0"/>
          <w:sz w:val="24"/>
          <w:szCs w:val="24"/>
        </w:rPr>
        <w:t>招标</w:t>
      </w:r>
      <w:r>
        <w:rPr>
          <w:rFonts w:cs="Times New Roman" w:asciiTheme="minorEastAsia" w:hAnsiTheme="minorEastAsia"/>
          <w:kern w:val="0"/>
          <w:sz w:val="24"/>
          <w:szCs w:val="24"/>
        </w:rPr>
        <w:t>文件由</w:t>
      </w:r>
      <w:r>
        <w:rPr>
          <w:rFonts w:hint="eastAsia" w:cs="Times New Roman" w:asciiTheme="minorEastAsia" w:hAnsiTheme="minorEastAsia"/>
          <w:kern w:val="0"/>
          <w:sz w:val="24"/>
          <w:szCs w:val="24"/>
        </w:rPr>
        <w:t>招标人</w:t>
      </w:r>
      <w:r>
        <w:rPr>
          <w:rFonts w:cs="Times New Roman" w:asciiTheme="minorEastAsia" w:hAnsiTheme="minorEastAsia"/>
          <w:kern w:val="0"/>
          <w:sz w:val="24"/>
          <w:szCs w:val="24"/>
        </w:rPr>
        <w:t>负责解释。</w:t>
      </w:r>
    </w:p>
    <w:p>
      <w:pPr>
        <w:jc w:val="center"/>
        <w:outlineLvl w:val="0"/>
        <w:rPr>
          <w:rFonts w:ascii="黑体" w:hAnsi="黑体" w:eastAsia="黑体" w:cs="Times New Roman"/>
          <w:bCs/>
          <w:kern w:val="0"/>
          <w:sz w:val="32"/>
          <w:szCs w:val="32"/>
        </w:rPr>
      </w:pPr>
      <w:bookmarkStart w:id="14" w:name="_Toc37172690"/>
      <w:bookmarkStart w:id="15" w:name="_Toc285612603"/>
      <w:bookmarkStart w:id="16" w:name="_Toc390713969"/>
      <w:bookmarkStart w:id="17" w:name="_Toc435540981"/>
      <w:r>
        <w:rPr>
          <w:rFonts w:hint="eastAsia" w:ascii="黑体" w:hAnsi="黑体" w:eastAsia="黑体" w:cs="Times New Roman"/>
          <w:bCs/>
          <w:kern w:val="0"/>
          <w:sz w:val="32"/>
          <w:szCs w:val="32"/>
        </w:rPr>
        <w:t>第四部分</w:t>
      </w:r>
      <w:r>
        <w:rPr>
          <w:rFonts w:ascii="黑体" w:hAnsi="黑体" w:eastAsia="黑体" w:cs="Times New Roman"/>
          <w:bCs/>
          <w:kern w:val="0"/>
          <w:sz w:val="32"/>
          <w:szCs w:val="32"/>
        </w:rPr>
        <w:t xml:space="preserve">  </w:t>
      </w:r>
      <w:r>
        <w:rPr>
          <w:rFonts w:hint="eastAsia" w:ascii="黑体" w:hAnsi="黑体" w:eastAsia="黑体" w:cs="Times New Roman"/>
          <w:bCs/>
          <w:kern w:val="0"/>
          <w:sz w:val="32"/>
          <w:szCs w:val="32"/>
        </w:rPr>
        <w:t>合同样本</w:t>
      </w:r>
      <w:bookmarkEnd w:id="14"/>
      <w:bookmarkEnd w:id="15"/>
      <w:bookmarkEnd w:id="16"/>
      <w:bookmarkEnd w:id="17"/>
    </w:p>
    <w:p>
      <w:pPr>
        <w:adjustRightInd w:val="0"/>
        <w:snapToGrid w:val="0"/>
        <w:jc w:val="center"/>
        <w:rPr>
          <w:rFonts w:ascii="黑体" w:hAnsi="黑体" w:eastAsia="黑体" w:cs="Times New Roman"/>
          <w:bCs/>
          <w:sz w:val="32"/>
          <w:szCs w:val="32"/>
        </w:rPr>
      </w:pPr>
      <w:r>
        <w:rPr>
          <w:rFonts w:ascii="Times New Roman" w:hAnsi="Times New Roman" w:eastAsia="华文中宋" w:cs="Times New Roman"/>
          <w:b/>
          <w:bCs/>
          <w:sz w:val="48"/>
        </w:rPr>
        <w:t xml:space="preserve"> </w:t>
      </w:r>
      <w:r>
        <w:rPr>
          <w:rFonts w:ascii="黑体" w:hAnsi="黑体" w:eastAsia="黑体" w:cs="Times New Roman"/>
          <w:b/>
          <w:bCs/>
          <w:sz w:val="32"/>
          <w:szCs w:val="32"/>
        </w:rPr>
        <w:t xml:space="preserve"> </w:t>
      </w:r>
      <w:r>
        <w:rPr>
          <w:rFonts w:ascii="黑体" w:hAnsi="黑体" w:eastAsia="黑体" w:cs="Times New Roman"/>
          <w:b/>
          <w:bCs/>
          <w:sz w:val="32"/>
          <w:szCs w:val="32"/>
          <w:u w:val="single"/>
        </w:rPr>
        <w:t xml:space="preserve">              </w:t>
      </w:r>
      <w:r>
        <w:rPr>
          <w:rFonts w:hint="eastAsia" w:ascii="黑体" w:hAnsi="黑体" w:eastAsia="黑体" w:cs="Times New Roman"/>
          <w:bCs/>
          <w:sz w:val="32"/>
          <w:szCs w:val="32"/>
        </w:rPr>
        <w:t>采</w:t>
      </w:r>
      <w:r>
        <w:rPr>
          <w:rFonts w:ascii="黑体" w:hAnsi="黑体" w:eastAsia="黑体" w:cs="Times New Roman"/>
          <w:bCs/>
          <w:sz w:val="32"/>
          <w:szCs w:val="32"/>
        </w:rPr>
        <w:t xml:space="preserve"> </w:t>
      </w:r>
      <w:r>
        <w:rPr>
          <w:rFonts w:hint="eastAsia" w:ascii="黑体" w:hAnsi="黑体" w:eastAsia="黑体" w:cs="Times New Roman"/>
          <w:bCs/>
          <w:sz w:val="32"/>
          <w:szCs w:val="32"/>
        </w:rPr>
        <w:t>购</w:t>
      </w:r>
      <w:r>
        <w:rPr>
          <w:rFonts w:ascii="黑体" w:hAnsi="黑体" w:eastAsia="黑体" w:cs="Times New Roman"/>
          <w:bCs/>
          <w:sz w:val="32"/>
          <w:szCs w:val="32"/>
        </w:rPr>
        <w:t xml:space="preserve"> </w:t>
      </w:r>
      <w:r>
        <w:rPr>
          <w:rFonts w:hint="eastAsia" w:ascii="黑体" w:hAnsi="黑体" w:eastAsia="黑体" w:cs="Times New Roman"/>
          <w:bCs/>
          <w:sz w:val="32"/>
          <w:szCs w:val="32"/>
        </w:rPr>
        <w:t>合</w:t>
      </w:r>
      <w:r>
        <w:rPr>
          <w:rFonts w:ascii="黑体" w:hAnsi="黑体" w:eastAsia="黑体" w:cs="Times New Roman"/>
          <w:bCs/>
          <w:sz w:val="32"/>
          <w:szCs w:val="32"/>
        </w:rPr>
        <w:t xml:space="preserve"> </w:t>
      </w:r>
      <w:r>
        <w:rPr>
          <w:rFonts w:hint="eastAsia" w:ascii="黑体" w:hAnsi="黑体" w:eastAsia="黑体" w:cs="Times New Roman"/>
          <w:bCs/>
          <w:sz w:val="32"/>
          <w:szCs w:val="32"/>
        </w:rPr>
        <w:t>同</w:t>
      </w:r>
      <w:r>
        <w:rPr>
          <w:rFonts w:ascii="Times New Roman" w:hAnsi="Times New Roman" w:eastAsia="方正小标宋简体" w:cs="Times New Roman"/>
          <w:bCs/>
          <w:sz w:val="48"/>
        </w:rPr>
        <w:t xml:space="preserve">             </w:t>
      </w:r>
      <w:r>
        <w:rPr>
          <w:rFonts w:hint="eastAsia" w:ascii="黑体" w:hAnsi="黑体" w:eastAsia="黑体" w:cs="Times New Roman"/>
          <w:bCs/>
          <w:sz w:val="32"/>
          <w:szCs w:val="32"/>
        </w:rPr>
        <w:t xml:space="preserve"> </w:t>
      </w:r>
    </w:p>
    <w:p>
      <w:pPr>
        <w:adjustRightInd w:val="0"/>
        <w:snapToGrid w:val="0"/>
        <w:jc w:val="center"/>
        <w:rPr>
          <w:rFonts w:ascii="Times New Roman" w:hAnsi="Times New Roman" w:eastAsia="方正小标宋简体" w:cs="Times New Roman"/>
          <w:bCs/>
          <w:sz w:val="48"/>
        </w:rPr>
      </w:pPr>
    </w:p>
    <w:p>
      <w:pPr>
        <w:adjustRightInd w:val="0"/>
        <w:snapToGrid w:val="0"/>
        <w:rPr>
          <w:rFonts w:ascii="Times New Roman" w:hAnsi="Times New Roman" w:eastAsia="华文中宋" w:cs="Times New Roman"/>
          <w:bCs/>
          <w:szCs w:val="21"/>
        </w:rPr>
      </w:pPr>
      <w:r>
        <w:rPr>
          <w:rFonts w:ascii="Times New Roman" w:hAnsi="Times New Roman" w:eastAsia="宋体" w:cs="Times New Roman"/>
        </w:rPr>
        <w:t xml:space="preserve">  </w:t>
      </w:r>
      <w:r>
        <w:rPr>
          <w:rFonts w:hint="eastAsia" w:ascii="Times New Roman" w:hAnsi="Times New Roman" w:eastAsia="宋体" w:cs="Times New Roman"/>
          <w:bCs/>
        </w:rPr>
        <w:t>签订地点：重庆市</w:t>
      </w:r>
      <w:r>
        <w:rPr>
          <w:rFonts w:ascii="Times New Roman" w:hAnsi="Times New Roman" w:eastAsia="宋体" w:cs="Times New Roman"/>
        </w:rPr>
        <w:t xml:space="preserve">                                </w:t>
      </w:r>
      <w:r>
        <w:rPr>
          <w:rFonts w:hint="eastAsia" w:ascii="Times New Roman" w:hAnsi="Times New Roman" w:eastAsia="宋体" w:cs="Times New Roman"/>
        </w:rPr>
        <w:t>　　</w:t>
      </w:r>
      <w:r>
        <w:rPr>
          <w:rFonts w:ascii="Times New Roman" w:hAnsi="Times New Roman" w:eastAsia="宋体" w:cs="Times New Roman"/>
        </w:rPr>
        <w:t xml:space="preserve">  </w:t>
      </w:r>
      <w:r>
        <w:rPr>
          <w:rFonts w:hint="eastAsia" w:ascii="Times New Roman" w:hAnsi="Times New Roman" w:eastAsia="宋体" w:cs="Times New Roman"/>
          <w:bCs/>
        </w:rPr>
        <w:t>签订日期</w:t>
      </w:r>
      <w:r>
        <w:rPr>
          <w:rFonts w:hint="eastAsia" w:ascii="Times New Roman" w:hAnsi="Times New Roman" w:eastAsia="宋体" w:cs="Times New Roman"/>
        </w:rPr>
        <w:t>：</w:t>
      </w:r>
      <w:r>
        <w:rPr>
          <w:rFonts w:ascii="Times New Roman" w:hAnsi="Times New Roman" w:eastAsia="宋体" w:cs="Times New Roman"/>
          <w:bCs/>
        </w:rPr>
        <w:t xml:space="preserve">      </w:t>
      </w:r>
      <w:r>
        <w:rPr>
          <w:rFonts w:hint="eastAsia" w:ascii="Times New Roman" w:hAnsi="Times New Roman" w:eastAsia="宋体" w:cs="Times New Roman"/>
          <w:bCs/>
        </w:rPr>
        <w:t>年</w:t>
      </w:r>
      <w:r>
        <w:rPr>
          <w:rFonts w:ascii="Times New Roman" w:hAnsi="Times New Roman" w:eastAsia="宋体" w:cs="Times New Roman"/>
          <w:bCs/>
        </w:rPr>
        <w:t xml:space="preserve">   </w:t>
      </w:r>
      <w:r>
        <w:rPr>
          <w:rFonts w:hint="eastAsia" w:ascii="Times New Roman" w:hAnsi="Times New Roman" w:eastAsia="宋体" w:cs="Times New Roman"/>
          <w:bCs/>
        </w:rPr>
        <w:t>月</w:t>
      </w:r>
      <w:r>
        <w:rPr>
          <w:rFonts w:ascii="Times New Roman" w:hAnsi="Times New Roman" w:eastAsia="宋体" w:cs="Times New Roman"/>
          <w:bCs/>
        </w:rPr>
        <w:t xml:space="preserve">   </w:t>
      </w:r>
      <w:r>
        <w:rPr>
          <w:rFonts w:hint="eastAsia" w:ascii="Times New Roman" w:hAnsi="Times New Roman" w:eastAsia="宋体" w:cs="Times New Roman"/>
          <w:bCs/>
        </w:rPr>
        <w:t>日</w:t>
      </w:r>
      <w:r>
        <w:rPr>
          <w:rFonts w:ascii="Times New Roman" w:hAnsi="Times New Roman" w:eastAsia="宋体" w:cs="Times New Roman"/>
        </w:rPr>
        <w:t xml:space="preserve">       </w:t>
      </w:r>
      <w:r>
        <w:rPr>
          <w:rFonts w:hint="eastAsia" w:ascii="Times New Roman" w:hAnsi="Times New Roman" w:eastAsia="宋体" w:cs="Times New Roman"/>
        </w:rPr>
        <w:t>　　　</w:t>
      </w:r>
      <w:r>
        <w:rPr>
          <w:rFonts w:ascii="Times New Roman" w:hAnsi="Times New Roman" w:eastAsia="宋体" w:cs="Times New Roman"/>
        </w:rPr>
        <w:t xml:space="preserve">                            </w:t>
      </w:r>
      <w:r>
        <w:rPr>
          <w:rFonts w:hint="eastAsia" w:ascii="Times New Roman" w:hAnsi="Times New Roman" w:eastAsia="宋体" w:cs="Times New Roman"/>
          <w:bCs/>
        </w:rPr>
        <w:t>合同编号</w:t>
      </w:r>
      <w:r>
        <w:rPr>
          <w:rFonts w:hint="eastAsia" w:ascii="Times New Roman" w:hAnsi="Times New Roman" w:eastAsia="宋体" w:cs="Times New Roman"/>
        </w:rPr>
        <w:t>：</w:t>
      </w:r>
      <w:r>
        <w:rPr>
          <w:rFonts w:ascii="Times New Roman" w:hAnsi="Times New Roman" w:eastAsia="宋体" w:cs="Times New Roman"/>
        </w:rPr>
        <w:t xml:space="preserve">  </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583"/>
        <w:gridCol w:w="659"/>
        <w:gridCol w:w="148"/>
        <w:gridCol w:w="1272"/>
        <w:gridCol w:w="1558"/>
        <w:gridCol w:w="3182"/>
        <w:gridCol w:w="364"/>
        <w:gridCol w:w="707"/>
        <w:gridCol w:w="417"/>
        <w:gridCol w:w="574"/>
        <w:gridCol w:w="1561"/>
        <w:gridCol w:w="1558"/>
        <w:gridCol w:w="1700"/>
        <w:gridCol w:w="50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503" w:type="pct"/>
            <w:gridSpan w:val="6"/>
            <w:tcBorders>
              <w:top w:val="single" w:color="auto" w:sz="1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甲　　方</w:t>
            </w:r>
          </w:p>
        </w:tc>
        <w:tc>
          <w:tcPr>
            <w:tcW w:w="2497" w:type="pct"/>
            <w:gridSpan w:val="8"/>
            <w:tcBorders>
              <w:top w:val="single" w:color="auto" w:sz="12" w:space="0"/>
              <w:left w:val="single" w:color="auto" w:sz="2" w:space="0"/>
              <w:bottom w:val="single" w:color="auto" w:sz="2" w:space="0"/>
              <w:right w:val="single" w:color="auto" w:sz="1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乙　　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48"/>
                <w:kern w:val="0"/>
                <w:szCs w:val="21"/>
                <w:fitText w:val="1170" w:id="0"/>
              </w:rPr>
              <w:t>单位名</w:t>
            </w:r>
            <w:r>
              <w:rPr>
                <w:rFonts w:hint="eastAsia" w:ascii="宋体" w:hAnsi="宋体" w:eastAsia="宋体" w:cs="Times New Roman"/>
                <w:bCs/>
                <w:spacing w:val="6"/>
                <w:kern w:val="0"/>
                <w:szCs w:val="21"/>
                <w:fitText w:val="1170" w:id="0"/>
              </w:rPr>
              <w:t>称</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pacing w:val="20"/>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
              </w:rPr>
              <w:t>单位名</w:t>
            </w:r>
            <w:r>
              <w:rPr>
                <w:rFonts w:hint="eastAsia" w:ascii="宋体" w:hAnsi="宋体" w:eastAsia="宋体" w:cs="Times New Roman"/>
                <w:bCs/>
                <w:spacing w:val="6"/>
                <w:kern w:val="0"/>
                <w:szCs w:val="21"/>
                <w:fitText w:val="1170" w:id="1"/>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2"/>
              </w:rPr>
              <w:t>法定代表</w:t>
            </w:r>
            <w:r>
              <w:rPr>
                <w:rFonts w:hint="eastAsia" w:ascii="宋体" w:hAnsi="宋体" w:eastAsia="宋体" w:cs="Times New Roman"/>
                <w:bCs/>
                <w:spacing w:val="-6"/>
                <w:kern w:val="0"/>
                <w:szCs w:val="21"/>
                <w:fitText w:val="1170" w:id="2"/>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3"/>
              </w:rPr>
              <w:t>法定代表</w:t>
            </w:r>
            <w:r>
              <w:rPr>
                <w:rFonts w:hint="eastAsia" w:ascii="宋体" w:hAnsi="宋体" w:eastAsia="宋体" w:cs="Times New Roman"/>
                <w:bCs/>
                <w:spacing w:val="-6"/>
                <w:kern w:val="0"/>
                <w:szCs w:val="21"/>
                <w:fitText w:val="1170" w:id="3"/>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4"/>
              </w:rPr>
              <w:t>委托代理</w:t>
            </w:r>
            <w:r>
              <w:rPr>
                <w:rFonts w:hint="eastAsia" w:ascii="宋体" w:hAnsi="宋体" w:eastAsia="宋体" w:cs="Times New Roman"/>
                <w:bCs/>
                <w:spacing w:val="-6"/>
                <w:kern w:val="0"/>
                <w:szCs w:val="21"/>
                <w:fitText w:val="1170" w:id="4"/>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5"/>
              </w:rPr>
              <w:t>委托代理</w:t>
            </w:r>
            <w:r>
              <w:rPr>
                <w:rFonts w:hint="eastAsia" w:ascii="宋体" w:hAnsi="宋体" w:eastAsia="宋体" w:cs="Times New Roman"/>
                <w:bCs/>
                <w:spacing w:val="-6"/>
                <w:kern w:val="0"/>
                <w:szCs w:val="21"/>
                <w:fitText w:val="1170" w:id="5"/>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6"/>
              </w:rPr>
              <w:t>联系</w:t>
            </w:r>
            <w:r>
              <w:rPr>
                <w:rFonts w:hint="eastAsia" w:ascii="宋体" w:hAnsi="宋体" w:eastAsia="宋体" w:cs="Times New Roman"/>
                <w:bCs/>
                <w:spacing w:val="18"/>
                <w:kern w:val="0"/>
                <w:szCs w:val="21"/>
                <w:fitText w:val="1170" w:id="6"/>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7"/>
              </w:rPr>
              <w:t>联系</w:t>
            </w:r>
            <w:r>
              <w:rPr>
                <w:rFonts w:hint="eastAsia" w:ascii="宋体" w:hAnsi="宋体" w:eastAsia="宋体" w:cs="Times New Roman"/>
                <w:bCs/>
                <w:spacing w:val="18"/>
                <w:kern w:val="0"/>
                <w:szCs w:val="21"/>
                <w:fitText w:val="1170" w:id="7"/>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8"/>
              </w:rPr>
              <w:t>联系电</w:t>
            </w:r>
            <w:r>
              <w:rPr>
                <w:rFonts w:hint="eastAsia" w:ascii="宋体" w:hAnsi="宋体" w:eastAsia="宋体" w:cs="Times New Roman"/>
                <w:bCs/>
                <w:spacing w:val="6"/>
                <w:kern w:val="0"/>
                <w:szCs w:val="21"/>
                <w:fitText w:val="1170" w:id="8"/>
              </w:rPr>
              <w:t>话</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9"/>
              </w:rPr>
              <w:t>联系电</w:t>
            </w:r>
            <w:r>
              <w:rPr>
                <w:rFonts w:hint="eastAsia" w:ascii="宋体" w:hAnsi="宋体" w:eastAsia="宋体" w:cs="Times New Roman"/>
                <w:bCs/>
                <w:spacing w:val="6"/>
                <w:kern w:val="0"/>
                <w:szCs w:val="21"/>
                <w:fitText w:val="1170" w:id="9"/>
              </w:rPr>
              <w:t>话</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0"/>
              </w:rPr>
              <w:t>通讯地</w:t>
            </w:r>
            <w:r>
              <w:rPr>
                <w:rFonts w:hint="eastAsia" w:ascii="宋体" w:hAnsi="宋体" w:eastAsia="宋体" w:cs="Times New Roman"/>
                <w:bCs/>
                <w:spacing w:val="6"/>
                <w:kern w:val="0"/>
                <w:szCs w:val="21"/>
                <w:fitText w:val="1170" w:id="10"/>
              </w:rPr>
              <w:t>址</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1"/>
              </w:rPr>
              <w:t>通讯地</w:t>
            </w:r>
            <w:r>
              <w:rPr>
                <w:rFonts w:hint="eastAsia" w:ascii="宋体" w:hAnsi="宋体" w:eastAsia="宋体" w:cs="Times New Roman"/>
                <w:bCs/>
                <w:spacing w:val="6"/>
                <w:kern w:val="0"/>
                <w:szCs w:val="21"/>
                <w:fitText w:val="1170" w:id="11"/>
              </w:rPr>
              <w:t>址</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2"/>
              </w:rPr>
              <w:t>邮政编</w:t>
            </w:r>
            <w:r>
              <w:rPr>
                <w:rFonts w:hint="eastAsia" w:ascii="宋体" w:hAnsi="宋体" w:eastAsia="宋体" w:cs="Times New Roman"/>
                <w:bCs/>
                <w:spacing w:val="6"/>
                <w:kern w:val="0"/>
                <w:szCs w:val="21"/>
                <w:fitText w:val="1170" w:id="12"/>
              </w:rPr>
              <w:t>码</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3"/>
              </w:rPr>
              <w:t>邮政编</w:t>
            </w:r>
            <w:r>
              <w:rPr>
                <w:rFonts w:hint="eastAsia" w:ascii="宋体" w:hAnsi="宋体" w:eastAsia="宋体" w:cs="Times New Roman"/>
                <w:bCs/>
                <w:spacing w:val="6"/>
                <w:kern w:val="0"/>
                <w:szCs w:val="21"/>
                <w:fitText w:val="1170" w:id="13"/>
              </w:rPr>
              <w:t>码</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4"/>
              </w:rPr>
              <w:t>付款单</w:t>
            </w:r>
            <w:r>
              <w:rPr>
                <w:rFonts w:hint="eastAsia" w:ascii="宋体" w:hAnsi="宋体" w:eastAsia="宋体" w:cs="Times New Roman"/>
                <w:bCs/>
                <w:spacing w:val="6"/>
                <w:kern w:val="0"/>
                <w:szCs w:val="21"/>
                <w:fitText w:val="1170" w:id="14"/>
              </w:rPr>
              <w:t>位</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5"/>
              </w:rPr>
              <w:t>开户名</w:t>
            </w:r>
            <w:r>
              <w:rPr>
                <w:rFonts w:hint="eastAsia" w:ascii="宋体" w:hAnsi="宋体" w:eastAsia="宋体" w:cs="Times New Roman"/>
                <w:bCs/>
                <w:spacing w:val="6"/>
                <w:kern w:val="0"/>
                <w:szCs w:val="21"/>
                <w:fitText w:val="1170" w:id="15"/>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6"/>
              </w:rPr>
              <w:t>开户银</w:t>
            </w:r>
            <w:r>
              <w:rPr>
                <w:rFonts w:hint="eastAsia" w:ascii="宋体" w:hAnsi="宋体" w:eastAsia="宋体" w:cs="Times New Roman"/>
                <w:bCs/>
                <w:spacing w:val="6"/>
                <w:kern w:val="0"/>
                <w:szCs w:val="21"/>
                <w:fitText w:val="1170" w:id="16"/>
              </w:rPr>
              <w:t>行</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7"/>
              </w:rPr>
              <w:t>开户银</w:t>
            </w:r>
            <w:r>
              <w:rPr>
                <w:rFonts w:hint="eastAsia" w:ascii="宋体" w:hAnsi="宋体" w:eastAsia="宋体" w:cs="Times New Roman"/>
                <w:bCs/>
                <w:spacing w:val="6"/>
                <w:kern w:val="0"/>
                <w:szCs w:val="21"/>
                <w:fitText w:val="1170" w:id="17"/>
              </w:rPr>
              <w:t>行</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8"/>
              </w:rPr>
              <w:t>银行账</w:t>
            </w:r>
            <w:r>
              <w:rPr>
                <w:rFonts w:hint="eastAsia" w:ascii="宋体" w:hAnsi="宋体" w:eastAsia="宋体" w:cs="Times New Roman"/>
                <w:bCs/>
                <w:spacing w:val="6"/>
                <w:kern w:val="0"/>
                <w:szCs w:val="21"/>
                <w:fitText w:val="1170" w:id="18"/>
              </w:rPr>
              <w:t>号</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9"/>
              </w:rPr>
              <w:t>银行账</w:t>
            </w:r>
            <w:r>
              <w:rPr>
                <w:rFonts w:hint="eastAsia" w:ascii="宋体" w:hAnsi="宋体" w:eastAsia="宋体" w:cs="Times New Roman"/>
                <w:bCs/>
                <w:spacing w:val="6"/>
                <w:kern w:val="0"/>
                <w:szCs w:val="21"/>
                <w:fitText w:val="1170" w:id="19"/>
              </w:rPr>
              <w:t>号</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5000" w:type="pct"/>
            <w:gridSpan w:val="14"/>
            <w:tcBorders>
              <w:top w:val="single" w:color="auto" w:sz="2" w:space="0"/>
              <w:left w:val="single" w:color="auto" w:sz="12" w:space="0"/>
              <w:bottom w:val="single" w:color="auto" w:sz="2" w:space="0"/>
              <w:right w:val="single" w:color="auto" w:sz="12" w:space="0"/>
            </w:tcBorders>
            <w:vAlign w:val="center"/>
          </w:tcPr>
          <w:p>
            <w:pPr>
              <w:adjustRightInd w:val="0"/>
              <w:snapToGrid w:val="0"/>
              <w:rPr>
                <w:rFonts w:ascii="Times New Roman" w:hAnsi="Times New Roman" w:eastAsia="宋体" w:cs="Times New Roman"/>
                <w:bCs/>
                <w:snapToGrid w:val="0"/>
                <w:spacing w:val="-10"/>
                <w:szCs w:val="21"/>
              </w:rPr>
            </w:pPr>
            <w:r>
              <w:rPr>
                <w:rFonts w:hint="eastAsia" w:ascii="Times New Roman" w:hAnsi="Times New Roman" w:eastAsia="宋体" w:cs="Times New Roman"/>
                <w:bCs/>
                <w:snapToGrid w:val="0"/>
                <w:spacing w:val="-10"/>
                <w:szCs w:val="21"/>
              </w:rPr>
              <w:t>一、项目编号：</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项目名称：</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w:t>
            </w:r>
            <w:r>
              <w:rPr>
                <w:rFonts w:ascii="Times New Roman" w:hAnsi="Times New Roman" w:eastAsia="宋体" w:cs="Times New Roman"/>
                <w:bCs/>
                <w:snapToGrid w:val="0"/>
                <w:spacing w:val="-10"/>
                <w:szCs w:val="21"/>
              </w:rPr>
              <w:t xml:space="preserve"> </w:t>
            </w:r>
            <w:r>
              <w:rPr>
                <w:rFonts w:hint="eastAsia" w:ascii="Times New Roman" w:hAnsi="Times New Roman" w:eastAsia="宋体" w:cs="Times New Roman"/>
                <w:bCs/>
                <w:snapToGrid w:val="0"/>
                <w:spacing w:val="-10"/>
                <w:szCs w:val="21"/>
              </w:rPr>
              <w:t xml:space="preserve"> </w:t>
            </w:r>
          </w:p>
          <w:p>
            <w:pPr>
              <w:adjustRightInd w:val="0"/>
              <w:snapToGrid w:val="0"/>
              <w:rPr>
                <w:rFonts w:ascii="Times New Roman" w:hAnsi="Times New Roman" w:eastAsia="宋体" w:cs="Times New Roman"/>
                <w:bCs/>
                <w:snapToGrid w:val="0"/>
                <w:spacing w:val="-10"/>
                <w:sz w:val="18"/>
              </w:rPr>
            </w:pPr>
            <w:r>
              <w:rPr>
                <w:rFonts w:hint="eastAsia" w:ascii="Times New Roman" w:hAnsi="Times New Roman" w:eastAsia="宋体" w:cs="Times New Roman"/>
                <w:bCs/>
                <w:snapToGrid w:val="0"/>
                <w:spacing w:val="-10"/>
                <w:szCs w:val="21"/>
              </w:rPr>
              <w:t>二、合同标的</w:t>
            </w:r>
            <w:r>
              <w:rPr>
                <w:rFonts w:ascii="Times New Roman" w:hAnsi="Times New Roman" w:eastAsia="宋体" w:cs="Times New Roman"/>
                <w:bCs/>
                <w:snapToGrid w:val="0"/>
                <w:spacing w:val="-10"/>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bCs/>
                <w:sz w:val="18"/>
              </w:rPr>
            </w:pPr>
            <w:r>
              <w:rPr>
                <w:rFonts w:hint="eastAsia" w:ascii="Times New Roman" w:hAnsi="Times New Roman" w:eastAsia="宋体" w:cs="Times New Roman"/>
                <w:bCs/>
                <w:sz w:val="18"/>
              </w:rPr>
              <w:t>序号</w:t>
            </w: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1" w:leftChars="-52"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编码</w:t>
            </w: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物资名称</w:t>
            </w: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生产厂家</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（品牌）</w:t>
            </w: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规格型号</w:t>
            </w: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计量</w:t>
            </w:r>
          </w:p>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单位</w:t>
            </w: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数量</w:t>
            </w: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单价</w:t>
            </w:r>
          </w:p>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27" w:type="pct"/>
            <w:tcBorders>
              <w:top w:val="single" w:color="auto" w:sz="2" w:space="0"/>
              <w:left w:val="single" w:color="auto" w:sz="2" w:space="0"/>
              <w:bottom w:val="single" w:color="auto" w:sz="2" w:space="0"/>
              <w:right w:val="single" w:color="auto" w:sz="2" w:space="0"/>
            </w:tcBorders>
            <w:vAlign w:val="center"/>
          </w:tcPr>
          <w:p>
            <w:pPr>
              <w:widowControl/>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合计金额</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交付时间</w:t>
            </w:r>
          </w:p>
        </w:tc>
        <w:tc>
          <w:tcPr>
            <w:tcW w:w="170" w:type="pct"/>
            <w:tcBorders>
              <w:top w:val="single" w:color="auto" w:sz="2" w:space="0"/>
              <w:left w:val="single" w:color="auto" w:sz="2" w:space="0"/>
              <w:bottom w:val="single" w:color="auto" w:sz="2" w:space="0"/>
              <w:right w:val="single" w:color="auto" w:sz="1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right="-113" w:rightChars="-58"/>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restart"/>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000" w:type="pct"/>
            <w:gridSpan w:val="14"/>
            <w:tcBorders>
              <w:top w:val="nil"/>
              <w:left w:val="single" w:color="auto" w:sz="12" w:space="0"/>
              <w:bottom w:val="single" w:color="auto" w:sz="12" w:space="0"/>
              <w:right w:val="single" w:color="auto" w:sz="12" w:space="0"/>
            </w:tcBorders>
            <w:vAlign w:val="center"/>
          </w:tcPr>
          <w:p>
            <w:pPr>
              <w:adjustRightInd w:val="0"/>
              <w:snapToGrid w:val="0"/>
              <w:ind w:firstLine="98" w:firstLineChars="50"/>
              <w:rPr>
                <w:rFonts w:ascii="Times New Roman" w:hAnsi="Times New Roman" w:eastAsia="宋体" w:cs="Times New Roman"/>
                <w:bCs/>
              </w:rPr>
            </w:pPr>
            <w:r>
              <w:rPr>
                <w:rFonts w:hint="eastAsia" w:ascii="Times New Roman" w:hAnsi="Times New Roman" w:eastAsia="宋体" w:cs="Times New Roman"/>
                <w:bCs/>
              </w:rPr>
              <w:t>合计：人民币金额（大写）</w:t>
            </w:r>
            <w:r>
              <w:rPr>
                <w:rFonts w:ascii="Times New Roman" w:hAnsi="Times New Roman" w:eastAsia="宋体" w:cs="Times New Roman"/>
                <w:bCs/>
              </w:rPr>
              <w:t xml:space="preserve">    </w:t>
            </w:r>
            <w:r>
              <w:rPr>
                <w:rFonts w:hint="eastAsia" w:ascii="Times New Roman" w:hAnsi="Times New Roman" w:eastAsia="宋体" w:cs="Times New Roman"/>
                <w:bCs/>
              </w:rPr>
              <w:t>亿</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万</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元</w:t>
            </w:r>
            <w:r>
              <w:rPr>
                <w:rFonts w:ascii="Times New Roman" w:hAnsi="Times New Roman" w:eastAsia="宋体" w:cs="Times New Roman"/>
                <w:bCs/>
              </w:rPr>
              <w:t xml:space="preserve">    </w:t>
            </w:r>
            <w:r>
              <w:rPr>
                <w:rFonts w:hint="eastAsia" w:ascii="Times New Roman" w:hAnsi="Times New Roman" w:eastAsia="宋体" w:cs="Times New Roman"/>
                <w:bCs/>
              </w:rPr>
              <w:t>角</w:t>
            </w:r>
            <w:r>
              <w:rPr>
                <w:rFonts w:ascii="Times New Roman" w:hAnsi="Times New Roman" w:eastAsia="宋体" w:cs="Times New Roman"/>
                <w:bCs/>
              </w:rPr>
              <w:t xml:space="preserve">    </w:t>
            </w:r>
            <w:r>
              <w:rPr>
                <w:rFonts w:hint="eastAsia" w:ascii="Times New Roman" w:hAnsi="Times New Roman" w:eastAsia="宋体" w:cs="Times New Roman"/>
                <w:bCs/>
              </w:rPr>
              <w:t>分</w:t>
            </w:r>
            <w:r>
              <w:rPr>
                <w:rFonts w:ascii="Times New Roman" w:hAnsi="Times New Roman" w:eastAsia="宋体" w:cs="Times New Roman"/>
                <w:bCs/>
              </w:rPr>
              <w:t xml:space="preserve">   </w:t>
            </w:r>
            <w:r>
              <w:rPr>
                <w:rFonts w:hint="eastAsia" w:ascii="Times New Roman" w:hAnsi="Times New Roman" w:eastAsia="宋体" w:cs="Times New Roman"/>
                <w:bCs/>
              </w:rPr>
              <w:t>（小写）</w:t>
            </w:r>
            <w:r>
              <w:rPr>
                <w:rFonts w:ascii="Times New Roman" w:hAnsi="Times New Roman" w:eastAsia="宋体" w:cs="Times New Roman"/>
                <w:bCs/>
              </w:rPr>
              <w:t>¥</w:t>
            </w:r>
            <w:r>
              <w:rPr>
                <w:rFonts w:hint="eastAsia" w:ascii="Times New Roman" w:hAnsi="Times New Roman" w:eastAsia="宋体" w:cs="Times New Roman"/>
                <w:bCs/>
              </w:rPr>
              <w:t>：</w:t>
            </w:r>
          </w:p>
        </w:tc>
      </w:tr>
    </w:tbl>
    <w:p>
      <w:pPr>
        <w:adjustRightInd w:val="0"/>
        <w:snapToGrid w:val="0"/>
        <w:rPr>
          <w:rFonts w:ascii="Times New Roman" w:hAnsi="Times New Roman" w:eastAsia="华文中宋" w:cs="Times New Roman"/>
          <w:bCs/>
          <w:szCs w:val="21"/>
        </w:rPr>
      </w:pP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47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20" w:hRule="atLeast"/>
          <w:jc w:val="center"/>
        </w:trPr>
        <w:tc>
          <w:tcPr>
            <w:tcW w:w="0" w:type="auto"/>
            <w:tcBorders>
              <w:top w:val="single" w:color="auto" w:sz="12" w:space="0"/>
              <w:left w:val="single" w:color="auto" w:sz="12" w:space="0"/>
              <w:bottom w:val="single" w:color="auto" w:sz="4" w:space="0"/>
              <w:right w:val="single" w:color="auto" w:sz="12" w:space="0"/>
            </w:tcBorders>
            <w:vAlign w:val="center"/>
          </w:tcPr>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三、质量标准</w:t>
            </w:r>
            <w:r>
              <w:rPr>
                <w:rFonts w:hint="eastAsia" w:ascii="宋体" w:hAnsi="宋体" w:eastAsia="宋体" w:cs="Times New Roman"/>
                <w:snapToGrid w:val="0"/>
                <w:sz w:val="18"/>
              </w:rPr>
              <w:t xml:space="preserve">  乙方提供的货物必须是全新的、未使用过的，物资质量应符合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投标书或投标文件承</w:t>
            </w:r>
          </w:p>
          <w:p>
            <w:pPr>
              <w:adjustRightInd w:val="0"/>
              <w:snapToGrid w:val="0"/>
              <w:ind w:firstLine="1239" w:firstLineChars="751"/>
              <w:rPr>
                <w:rFonts w:ascii="宋体" w:hAnsi="宋体" w:eastAsia="宋体" w:cs="Times New Roman"/>
                <w:snapToGrid w:val="0"/>
                <w:sz w:val="18"/>
                <w:u w:val="single"/>
              </w:rPr>
            </w:pPr>
            <w:r>
              <w:rPr>
                <w:rFonts w:hint="eastAsia" w:ascii="宋体" w:hAnsi="宋体" w:eastAsia="宋体" w:cs="Times New Roman"/>
                <w:snapToGrid w:val="0"/>
                <w:sz w:val="18"/>
              </w:rPr>
              <w:t xml:space="preserve">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b/>
                <w:bCs/>
                <w:snapToGrid w:val="0"/>
                <w:sz w:val="18"/>
              </w:rPr>
            </w:pPr>
            <w:r>
              <w:rPr>
                <w:rFonts w:hint="eastAsia" w:ascii="黑体" w:hAnsi="黑体" w:eastAsia="黑体" w:cs="Times New Roman"/>
                <w:bCs/>
                <w:snapToGrid w:val="0"/>
                <w:sz w:val="18"/>
              </w:rPr>
              <w:t>四、包装及资料</w:t>
            </w:r>
            <w:r>
              <w:rPr>
                <w:rFonts w:hint="eastAsia" w:ascii="宋体" w:hAnsi="宋体" w:eastAsia="宋体" w:cs="Times New Roman"/>
                <w:snapToGrid w:val="0"/>
                <w:sz w:val="18"/>
              </w:rPr>
              <w:t xml:space="preserve">  物资包装应符合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 xml:space="preserve">投标书或投标文件承诺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404" w:firstLineChars="851"/>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bCs/>
                <w:snapToGrid w:val="0"/>
                <w:sz w:val="18"/>
              </w:rPr>
              <w:t>物资出厂资料</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中文使用操作说明书（</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售后服务手册  </w:t>
            </w:r>
            <w:r>
              <w:rPr>
                <w:rFonts w:ascii="宋体" w:hAnsi="宋体" w:eastAsia="宋体" w:cs="Times New Roman"/>
                <w:snapToGrid w:val="0"/>
                <w:sz w:val="18"/>
              </w:rPr>
              <w:t>□</w:t>
            </w:r>
            <w:r>
              <w:rPr>
                <w:rFonts w:hint="eastAsia" w:ascii="宋体" w:hAnsi="宋体" w:eastAsia="宋体" w:cs="Times New Roman"/>
                <w:snapToGrid w:val="0"/>
                <w:sz w:val="18"/>
              </w:rPr>
              <w:t>操作维修光盘（</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履历书  </w:t>
            </w:r>
            <w:r>
              <w:rPr>
                <w:rFonts w:ascii="宋体" w:hAnsi="宋体" w:eastAsia="宋体" w:cs="Times New Roman"/>
                <w:snapToGrid w:val="0"/>
                <w:sz w:val="18"/>
              </w:rPr>
              <w:t>□</w:t>
            </w:r>
            <w:r>
              <w:rPr>
                <w:rFonts w:hint="eastAsia" w:ascii="宋体" w:hAnsi="宋体" w:eastAsia="宋体" w:cs="Times New Roman"/>
                <w:snapToGrid w:val="0"/>
                <w:sz w:val="18"/>
              </w:rPr>
              <w:t xml:space="preserve">装箱清单  </w:t>
            </w:r>
            <w:r>
              <w:rPr>
                <w:rFonts w:ascii="宋体" w:hAnsi="宋体" w:eastAsia="宋体" w:cs="Times New Roman"/>
                <w:snapToGrid w:val="0"/>
                <w:sz w:val="18"/>
              </w:rPr>
              <w:t>□</w:t>
            </w:r>
            <w:r>
              <w:rPr>
                <w:rFonts w:hint="eastAsia" w:ascii="宋体" w:hAnsi="宋体" w:eastAsia="宋体" w:cs="Times New Roman"/>
                <w:snapToGrid w:val="0"/>
                <w:sz w:val="18"/>
              </w:rPr>
              <w:t xml:space="preserve">随装工具  </w:t>
            </w:r>
            <w:r>
              <w:rPr>
                <w:rFonts w:ascii="宋体" w:hAnsi="宋体" w:eastAsia="宋体" w:cs="Times New Roman"/>
                <w:snapToGrid w:val="0"/>
                <w:sz w:val="18"/>
              </w:rPr>
              <w:t>□</w:t>
            </w:r>
            <w:r>
              <w:rPr>
                <w:rFonts w:hint="eastAsia" w:ascii="宋体" w:hAnsi="宋体" w:eastAsia="宋体" w:cs="Times New Roman"/>
                <w:snapToGrid w:val="0"/>
                <w:sz w:val="18"/>
              </w:rPr>
              <w:t xml:space="preserve">随装备件  </w:t>
            </w:r>
          </w:p>
          <w:p>
            <w:pPr>
              <w:adjustRightInd w:val="0"/>
              <w:snapToGrid w:val="0"/>
              <w:ind w:firstLine="1404" w:firstLineChars="851"/>
              <w:rPr>
                <w:rFonts w:ascii="宋体" w:hAnsi="宋体" w:eastAsia="宋体" w:cs="Times New Roman"/>
                <w:b/>
                <w:bCs/>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质量检验证明</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产品合格证  </w:t>
            </w:r>
            <w:r>
              <w:rPr>
                <w:rFonts w:ascii="宋体" w:hAnsi="宋体" w:eastAsia="宋体" w:cs="Times New Roman"/>
                <w:snapToGrid w:val="0"/>
                <w:sz w:val="18"/>
              </w:rPr>
              <w:t>□</w:t>
            </w:r>
            <w:r>
              <w:rPr>
                <w:rFonts w:hint="eastAsia" w:ascii="宋体" w:hAnsi="宋体" w:eastAsia="宋体" w:cs="Times New Roman"/>
                <w:snapToGrid w:val="0"/>
                <w:sz w:val="18"/>
              </w:rPr>
              <w:t xml:space="preserve">军检合格证  </w:t>
            </w:r>
            <w:r>
              <w:rPr>
                <w:rFonts w:ascii="宋体" w:hAnsi="宋体" w:eastAsia="宋体" w:cs="Times New Roman"/>
                <w:snapToGrid w:val="0"/>
                <w:sz w:val="18"/>
              </w:rPr>
              <w:t>□</w:t>
            </w:r>
            <w:r>
              <w:rPr>
                <w:rFonts w:hint="eastAsia" w:ascii="宋体" w:hAnsi="宋体" w:eastAsia="宋体" w:cs="Times New Roman"/>
                <w:snapToGrid w:val="0"/>
                <w:sz w:val="18"/>
              </w:rPr>
              <w:t xml:space="preserve">装备铭牌（块数、式样、材质、安装位置供需双方商定）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五、检验验收</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出厂验收由</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组织，乙方配合。  □乙方详细生产地址</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交货验收</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过程检验</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b/>
                <w:bCs/>
                <w:snapToGrid w:val="0"/>
                <w:sz w:val="18"/>
              </w:rPr>
            </w:pPr>
            <w:r>
              <w:rPr>
                <w:rFonts w:hint="eastAsia" w:ascii="黑体" w:hAnsi="黑体" w:eastAsia="黑体" w:cs="Times New Roman"/>
                <w:bCs/>
                <w:snapToGrid w:val="0"/>
                <w:sz w:val="18"/>
              </w:rPr>
              <w:t>六、交货地点</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乙方</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甲方发运接收单指定地点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七、交货方式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甲方自提　</w:t>
            </w:r>
            <w:r>
              <w:rPr>
                <w:rFonts w:ascii="宋体" w:hAnsi="宋体" w:eastAsia="宋体" w:cs="Times New Roman"/>
                <w:snapToGrid w:val="0"/>
                <w:sz w:val="18"/>
              </w:rPr>
              <w:t>□</w:t>
            </w:r>
            <w:r>
              <w:rPr>
                <w:rFonts w:hint="eastAsia" w:ascii="宋体" w:hAnsi="宋体" w:eastAsia="宋体" w:cs="Times New Roman"/>
                <w:snapToGrid w:val="0"/>
                <w:sz w:val="18"/>
              </w:rPr>
              <w:t>乙方送货　</w:t>
            </w:r>
            <w:r>
              <w:rPr>
                <w:rFonts w:ascii="宋体" w:hAnsi="宋体" w:eastAsia="宋体" w:cs="Times New Roman"/>
                <w:snapToGrid w:val="0"/>
                <w:sz w:val="18"/>
              </w:rPr>
              <w:t>□</w:t>
            </w:r>
            <w:r>
              <w:rPr>
                <w:rFonts w:hint="eastAsia" w:ascii="宋体" w:hAnsi="宋体" w:eastAsia="宋体" w:cs="Times New Roman"/>
                <w:snapToGrid w:val="0"/>
                <w:sz w:val="18"/>
              </w:rPr>
              <w:t>甲方负责申请（</w:t>
            </w:r>
            <w:r>
              <w:rPr>
                <w:rFonts w:ascii="宋体" w:hAnsi="宋体" w:eastAsia="宋体" w:cs="Times New Roman"/>
                <w:snapToGrid w:val="0"/>
                <w:sz w:val="18"/>
              </w:rPr>
              <w:t>□</w:t>
            </w:r>
            <w:r>
              <w:rPr>
                <w:rFonts w:hint="eastAsia" w:ascii="宋体" w:hAnsi="宋体" w:eastAsia="宋体" w:cs="Times New Roman"/>
                <w:snapToGrid w:val="0"/>
                <w:sz w:val="18"/>
              </w:rPr>
              <w:t>公路</w:t>
            </w:r>
            <w:r>
              <w:rPr>
                <w:rFonts w:ascii="宋体" w:hAnsi="宋体" w:eastAsia="宋体" w:cs="Times New Roman"/>
                <w:snapToGrid w:val="0"/>
                <w:sz w:val="18"/>
              </w:rPr>
              <w:t xml:space="preserve">  □</w:t>
            </w:r>
            <w:r>
              <w:rPr>
                <w:rFonts w:hint="eastAsia" w:ascii="宋体" w:hAnsi="宋体" w:eastAsia="宋体" w:cs="Times New Roman"/>
                <w:snapToGrid w:val="0"/>
                <w:sz w:val="18"/>
              </w:rPr>
              <w:t>铁路</w:t>
            </w:r>
            <w:r>
              <w:rPr>
                <w:rFonts w:ascii="宋体" w:hAnsi="宋体" w:eastAsia="宋体" w:cs="Times New Roman"/>
                <w:snapToGrid w:val="0"/>
                <w:sz w:val="18"/>
              </w:rPr>
              <w:t xml:space="preserve">  □</w:t>
            </w:r>
            <w:r>
              <w:rPr>
                <w:rFonts w:hint="eastAsia" w:ascii="宋体" w:hAnsi="宋体" w:eastAsia="宋体" w:cs="Times New Roman"/>
                <w:snapToGrid w:val="0"/>
                <w:sz w:val="18"/>
              </w:rPr>
              <w:t>水运</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航空）军事运输计划组织发运，乙方配合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u w:val="single"/>
              </w:rPr>
            </w:pPr>
            <w:r>
              <w:rPr>
                <w:rFonts w:hint="eastAsia" w:ascii="黑体" w:hAnsi="黑体" w:eastAsia="黑体" w:cs="Times New Roman"/>
                <w:bCs/>
                <w:snapToGrid w:val="0"/>
                <w:sz w:val="18"/>
              </w:rPr>
              <w:t>八、运输费用</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甲方承担，乙方代垫，凭票据报销  </w:t>
            </w:r>
            <w:r>
              <w:rPr>
                <w:rFonts w:ascii="宋体" w:hAnsi="宋体" w:eastAsia="宋体" w:cs="Times New Roman"/>
                <w:snapToGrid w:val="0"/>
                <w:sz w:val="18"/>
              </w:rPr>
              <w:t>□</w:t>
            </w:r>
            <w:r>
              <w:rPr>
                <w:rFonts w:hint="eastAsia" w:ascii="宋体" w:hAnsi="宋体" w:eastAsia="宋体" w:cs="Times New Roman"/>
                <w:snapToGrid w:val="0"/>
                <w:sz w:val="18"/>
              </w:rPr>
              <w:t xml:space="preserve">乙方承担  </w:t>
            </w:r>
            <w:r>
              <w:rPr>
                <w:rFonts w:ascii="宋体" w:hAnsi="宋体" w:eastAsia="宋体" w:cs="Times New Roman"/>
                <w:snapToGrid w:val="0"/>
                <w:sz w:val="18"/>
              </w:rPr>
              <w:t>□</w:t>
            </w:r>
            <w:r>
              <w:rPr>
                <w:rFonts w:hint="eastAsia" w:ascii="宋体" w:hAnsi="宋体" w:eastAsia="宋体" w:cs="Times New Roman"/>
                <w:snapToGrid w:val="0"/>
                <w:sz w:val="18"/>
              </w:rPr>
              <w:t>甲方承担费用</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元，乙方包干使用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九、售后服务</w:t>
            </w:r>
            <w:r>
              <w:rPr>
                <w:rFonts w:hint="eastAsia" w:ascii="宋体" w:hAnsi="宋体" w:eastAsia="宋体" w:cs="Times New Roman"/>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售后服务联系方式：固定电话</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，手机</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，电子邮箱</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79" w:firstLineChars="775"/>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质保期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。质保期内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，超出质保期后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保修期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。保修期内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，超出保修期后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培训方式及费用承担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szCs w:val="18"/>
              </w:rPr>
            </w:pPr>
            <w:r>
              <w:rPr>
                <w:rFonts w:ascii="宋体" w:hAnsi="宋体" w:eastAsia="宋体" w:cs="Times New Roman"/>
                <w:snapToGrid w:val="0"/>
                <w:sz w:val="18"/>
              </w:rPr>
              <w:t>□</w:t>
            </w:r>
            <w:r>
              <w:rPr>
                <w:rFonts w:hint="eastAsia" w:ascii="宋体" w:hAnsi="宋体" w:eastAsia="宋体" w:cs="Times New Roman"/>
                <w:snapToGrid w:val="0"/>
                <w:sz w:val="18"/>
              </w:rPr>
              <w:t xml:space="preserve">乙方承诺在战时和平时特殊情况下的军事行动中优先向甲方提供有关支援服务。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szCs w:val="18"/>
              </w:rPr>
              <w:t>。</w:t>
            </w:r>
          </w:p>
          <w:p>
            <w:pPr>
              <w:adjustRightInd w:val="0"/>
              <w:snapToGrid w:val="0"/>
              <w:ind w:left="1276" w:hanging="1282" w:hangingChars="777"/>
              <w:rPr>
                <w:rFonts w:ascii="宋体" w:hAnsi="宋体" w:eastAsia="宋体" w:cs="Times New Roman"/>
                <w:snapToGrid w:val="0"/>
                <w:sz w:val="18"/>
              </w:rPr>
            </w:pPr>
            <w:r>
              <w:rPr>
                <w:rFonts w:hint="eastAsia" w:ascii="黑体" w:hAnsi="黑体" w:eastAsia="黑体" w:cs="Times New Roman"/>
                <w:bCs/>
                <w:snapToGrid w:val="0"/>
                <w:sz w:val="18"/>
              </w:rPr>
              <w:t>十、资金结算</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自本合同签订生效之日起</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天内，甲方向乙方支付合同总金额的</w:t>
            </w:r>
            <w:r>
              <w:rPr>
                <w:rFonts w:hint="eastAsia"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的预付款。  </w:t>
            </w:r>
            <w:r>
              <w:rPr>
                <w:rFonts w:ascii="宋体" w:hAnsi="宋体" w:eastAsia="宋体" w:cs="Times New Roman"/>
                <w:snapToGrid w:val="0"/>
                <w:sz w:val="18"/>
              </w:rPr>
              <w:t>□</w:t>
            </w:r>
            <w:r>
              <w:rPr>
                <w:rFonts w:hint="eastAsia" w:ascii="宋体" w:hAnsi="宋体" w:eastAsia="宋体" w:cs="Times New Roman"/>
                <w:snapToGrid w:val="0"/>
                <w:sz w:val="18"/>
              </w:rPr>
              <w:t>首检合格后再办理预付款。</w:t>
            </w:r>
            <w:r>
              <w:rPr>
                <w:rFonts w:cs="Times New Roman" w:asciiTheme="minorEastAsia" w:hAnsiTheme="minorEastAsia"/>
                <w:snapToGrid w:val="0"/>
                <w:sz w:val="18"/>
                <w:szCs w:val="18"/>
              </w:rPr>
              <w:t>□</w:t>
            </w:r>
            <w:r>
              <w:rPr>
                <w:rFonts w:hint="eastAsia" w:ascii="宋体" w:hAnsi="宋体" w:eastAsia="宋体" w:cs="Times New Roman"/>
                <w:snapToGrid w:val="0"/>
                <w:sz w:val="18"/>
              </w:rPr>
              <w:t>物资检验验收合格并完成交货后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天内，甲方凭乙方提供的相关票据单证，向乙方支付合同总金额的</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余</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作为质量保证金，自交货之日起  </w:t>
            </w:r>
            <w:r>
              <w:rPr>
                <w:rFonts w:ascii="宋体" w:hAnsi="宋体" w:eastAsia="宋体" w:cs="Times New Roman"/>
                <w:snapToGrid w:val="0"/>
                <w:sz w:val="18"/>
              </w:rPr>
              <w:t>□</w:t>
            </w:r>
            <w:r>
              <w:rPr>
                <w:rFonts w:hint="eastAsia" w:ascii="宋体" w:hAnsi="宋体" w:eastAsia="宋体" w:cs="Times New Roman"/>
                <w:snapToGrid w:val="0"/>
                <w:sz w:val="18"/>
              </w:rPr>
              <w:t xml:space="preserve">三个月  </w:t>
            </w:r>
            <w:r>
              <w:rPr>
                <w:rFonts w:ascii="宋体" w:hAnsi="宋体" w:eastAsia="宋体" w:cs="Times New Roman"/>
                <w:snapToGrid w:val="0"/>
                <w:sz w:val="18"/>
              </w:rPr>
              <w:t>□</w:t>
            </w:r>
            <w:r>
              <w:rPr>
                <w:rFonts w:hint="eastAsia" w:ascii="宋体" w:hAnsi="宋体" w:eastAsia="宋体" w:cs="Times New Roman"/>
                <w:snapToGrid w:val="0"/>
                <w:sz w:val="18"/>
              </w:rPr>
              <w:t xml:space="preserve">六个月  </w:t>
            </w:r>
            <w:r>
              <w:rPr>
                <w:rFonts w:ascii="宋体" w:hAnsi="宋体" w:eastAsia="宋体" w:cs="Times New Roman"/>
                <w:snapToGrid w:val="0"/>
                <w:sz w:val="18"/>
              </w:rPr>
              <w:t>□</w:t>
            </w:r>
            <w:r>
              <w:rPr>
                <w:rFonts w:hint="eastAsia" w:ascii="宋体" w:hAnsi="宋体" w:eastAsia="宋体" w:cs="Times New Roman"/>
                <w:snapToGrid w:val="0"/>
                <w:sz w:val="18"/>
              </w:rPr>
              <w:t xml:space="preserve">十二个月  </w:t>
            </w:r>
            <w:r>
              <w:rPr>
                <w:rFonts w:ascii="宋体" w:hAnsi="宋体" w:eastAsia="宋体" w:cs="Times New Roman"/>
                <w:snapToGrid w:val="0"/>
                <w:sz w:val="18"/>
              </w:rPr>
              <w:t>□</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月正常使用且无质量问题时，一次性结清。  </w:t>
            </w:r>
            <w:r>
              <w:rPr>
                <w:rFonts w:ascii="宋体" w:hAnsi="宋体" w:eastAsia="宋体" w:cs="Times New Roman"/>
                <w:snapToGrid w:val="0"/>
                <w:sz w:val="18"/>
              </w:rPr>
              <w:t>□</w:t>
            </w:r>
            <w:r>
              <w:rPr>
                <w:rFonts w:hint="eastAsia" w:ascii="宋体" w:hAnsi="宋体" w:eastAsia="宋体" w:cs="Times New Roman"/>
                <w:snapToGrid w:val="0"/>
                <w:sz w:val="18"/>
              </w:rPr>
              <w:t>最终结算按审价报告执行。</w:t>
            </w:r>
          </w:p>
          <w:p>
            <w:pPr>
              <w:adjustRightInd w:val="0"/>
              <w:snapToGrid w:val="0"/>
              <w:rPr>
                <w:rFonts w:ascii="Times New Roman" w:hAnsi="Times New Roman" w:eastAsia="宋体" w:cs="Times New Roman"/>
                <w:bCs/>
                <w:snapToGrid w:val="0"/>
                <w:sz w:val="18"/>
              </w:rPr>
            </w:pPr>
            <w:r>
              <w:rPr>
                <w:rFonts w:hint="eastAsia" w:ascii="黑体" w:hAnsi="黑体" w:eastAsia="黑体" w:cs="Times New Roman"/>
                <w:bCs/>
                <w:snapToGrid w:val="0"/>
                <w:sz w:val="18"/>
              </w:rPr>
              <w:t>十一、知识产权</w:t>
            </w:r>
            <w:r>
              <w:rPr>
                <w:rFonts w:hint="eastAsia" w:ascii="Times New Roman" w:hAnsi="Times New Roman" w:eastAsia="宋体" w:cs="Times New Roman"/>
                <w:b/>
                <w:bCs/>
                <w:snapToGrid w:val="0"/>
                <w:sz w:val="18"/>
              </w:rPr>
              <w:t xml:space="preserve">  </w:t>
            </w:r>
            <w:r>
              <w:rPr>
                <w:rFonts w:hint="eastAsia" w:ascii="Times New Roman" w:hAnsi="Times New Roman" w:eastAsia="宋体" w:cs="Times New Roman"/>
                <w:bCs/>
                <w:snapToGrid w:val="0"/>
                <w:sz w:val="18"/>
              </w:rPr>
              <w:t>乙方应保证甲方使用其提供的物资时不受第三方关于侵犯专利权、商标权和工业设计权的指控，甲方不承担任何连带责任和赔偿责任。</w:t>
            </w:r>
          </w:p>
          <w:p>
            <w:pPr>
              <w:adjustRightInd w:val="0"/>
              <w:snapToGrid w:val="0"/>
              <w:ind w:left="1447" w:hanging="1453" w:hangingChars="881"/>
              <w:rPr>
                <w:rFonts w:ascii="宋体" w:hAnsi="宋体" w:eastAsia="宋体" w:cs="Times New Roman"/>
                <w:b/>
                <w:bCs/>
                <w:snapToGrid w:val="0"/>
                <w:sz w:val="18"/>
              </w:rPr>
            </w:pPr>
            <w:r>
              <w:rPr>
                <w:rFonts w:hint="eastAsia" w:ascii="黑体" w:hAnsi="黑体" w:eastAsia="黑体" w:cs="Times New Roman"/>
                <w:bCs/>
                <w:snapToGrid w:val="0"/>
                <w:sz w:val="18"/>
              </w:rPr>
              <w:t>十二、保密责任</w:t>
            </w:r>
            <w:r>
              <w:rPr>
                <w:rFonts w:hint="eastAsia" w:ascii="宋体" w:hAnsi="宋体" w:eastAsia="宋体" w:cs="Times New Roman"/>
                <w:b/>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甲方对乙方的商业秘密应当保密  </w:t>
            </w:r>
            <w:r>
              <w:rPr>
                <w:rFonts w:ascii="宋体" w:hAnsi="宋体" w:eastAsia="宋体" w:cs="Times New Roman"/>
                <w:snapToGrid w:val="0"/>
                <w:sz w:val="18"/>
              </w:rPr>
              <w:t>□</w:t>
            </w:r>
            <w:r>
              <w:rPr>
                <w:rFonts w:hint="eastAsia" w:ascii="宋体" w:hAnsi="宋体" w:eastAsia="宋体" w:cs="Times New Roman"/>
                <w:bCs/>
                <w:snapToGrid w:val="0"/>
                <w:sz w:val="18"/>
              </w:rPr>
              <w:t xml:space="preserve">乙方对本合同的签订、履行及解除等事项保密，  </w:t>
            </w:r>
            <w:r>
              <w:rPr>
                <w:rFonts w:ascii="宋体" w:hAnsi="宋体" w:eastAsia="宋体" w:cs="Times New Roman"/>
                <w:snapToGrid w:val="0"/>
                <w:sz w:val="18"/>
              </w:rPr>
              <w:t>□</w:t>
            </w:r>
            <w:r>
              <w:rPr>
                <w:rFonts w:hint="eastAsia" w:ascii="宋体" w:hAnsi="宋体" w:eastAsia="宋体" w:cs="Times New Roman"/>
                <w:snapToGrid w:val="0"/>
                <w:sz w:val="18"/>
              </w:rPr>
              <w:t xml:space="preserve">涉及物资的全部技术资料等未经甲方同意乙方不得向社会公开  </w:t>
            </w:r>
            <w:r>
              <w:rPr>
                <w:rFonts w:ascii="宋体" w:hAnsi="宋体" w:eastAsia="宋体" w:cs="Times New Roman"/>
                <w:snapToGrid w:val="0"/>
                <w:sz w:val="18"/>
              </w:rPr>
              <w:t>□</w:t>
            </w:r>
            <w:r>
              <w:rPr>
                <w:rFonts w:hint="eastAsia" w:ascii="宋体" w:hAnsi="宋体" w:eastAsia="宋体" w:cs="Times New Roman"/>
                <w:snapToGrid w:val="0"/>
                <w:sz w:val="18"/>
              </w:rPr>
              <w:t xml:space="preserve">乙方应对甲方委托送货的发运单、接收单位目录和售后服务单位目录等资料，按密级管理，不得泄密。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u w:val="single"/>
              </w:rPr>
              <w:t xml:space="preserve"> </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 xml:space="preserve">十三、合同变更与解除  </w:t>
            </w:r>
            <w:r>
              <w:rPr>
                <w:rFonts w:ascii="宋体" w:hAnsi="宋体" w:eastAsia="宋体" w:cs="Times New Roman"/>
                <w:snapToGrid w:val="0"/>
                <w:sz w:val="18"/>
              </w:rPr>
              <w:t>□</w:t>
            </w:r>
            <w:r>
              <w:rPr>
                <w:rFonts w:hint="eastAsia" w:ascii="宋体" w:hAnsi="宋体" w:eastAsia="宋体" w:cs="Times New Roman"/>
                <w:snapToGrid w:val="0"/>
                <w:sz w:val="18"/>
              </w:rPr>
              <w:t>甲乙双方任何一方要求变更、解除或终止合同时，应及时通知对方，并采用书面形式由双方达成协议</w:t>
            </w:r>
            <w:r>
              <w:rPr>
                <w:rFonts w:ascii="宋体" w:hAnsi="宋体" w:eastAsia="宋体" w:cs="Times New Roman"/>
                <w:snapToGrid w:val="0"/>
                <w:sz w:val="18"/>
              </w:rPr>
              <w:t xml:space="preserve">  □</w:t>
            </w:r>
            <w:r>
              <w:rPr>
                <w:rFonts w:hint="eastAsia" w:ascii="宋体" w:hAnsi="宋体" w:eastAsia="宋体" w:cs="Times New Roman"/>
                <w:snapToGrid w:val="0"/>
                <w:sz w:val="18"/>
              </w:rPr>
              <w:t>甲方因任务取消等情况，可以变更或解除合同，给乙方造成损失的，甲方应当赔偿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乙方不能履行合同时，甲方有权解除合同，给甲方造成损失的，乙方应当赔偿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未经甲方允许，乙方不得部分或全部转让其应履行的合同义务</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产品出厂验收不合格，甲方有权拒收货物和支付货款，由此造成的一切损失由乙方承担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十四、违约责任</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甲乙任何一方未经对方允许而违约时，违约方应向对方支付违约金，按</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执行，违约金最高限额为合同总金额的</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Pr>
                <w:rFonts w:ascii="宋体" w:hAnsi="宋体" w:eastAsia="宋体" w:cs="Times New Roman"/>
                <w:snapToGrid w:val="0"/>
                <w:sz w:val="18"/>
              </w:rPr>
              <w:t>36</w:t>
            </w:r>
            <w:r>
              <w:rPr>
                <w:rFonts w:hint="eastAsia" w:ascii="宋体" w:hAnsi="宋体" w:eastAsia="宋体" w:cs="Times New Roman"/>
                <w:snapToGrid w:val="0"/>
                <w:sz w:val="18"/>
              </w:rPr>
              <w:t>小时内将情况通知另一方，在灾害发生后</w:t>
            </w:r>
            <w:r>
              <w:rPr>
                <w:rFonts w:ascii="宋体" w:hAnsi="宋体" w:eastAsia="宋体" w:cs="Times New Roman"/>
                <w:snapToGrid w:val="0"/>
                <w:sz w:val="18"/>
              </w:rPr>
              <w:t>14</w:t>
            </w:r>
            <w:r>
              <w:rPr>
                <w:rFonts w:hint="eastAsia" w:ascii="宋体" w:hAnsi="宋体" w:eastAsia="宋体" w:cs="Times New Roman"/>
                <w:snapToGrid w:val="0"/>
                <w:sz w:val="18"/>
              </w:rPr>
              <w:t>天内向另一方出具权威部门的证明文件。如果不可抗力影响连续</w:t>
            </w:r>
            <w:r>
              <w:rPr>
                <w:rFonts w:ascii="宋体" w:hAnsi="宋体" w:eastAsia="宋体" w:cs="Times New Roman"/>
                <w:snapToGrid w:val="0"/>
                <w:sz w:val="18"/>
              </w:rPr>
              <w:t>120</w:t>
            </w:r>
            <w:r>
              <w:rPr>
                <w:rFonts w:hint="eastAsia" w:ascii="宋体" w:hAnsi="宋体" w:eastAsia="宋体" w:cs="Times New Roman"/>
                <w:snapToGrid w:val="0"/>
                <w:sz w:val="18"/>
              </w:rPr>
              <w:t>天以上时，双方可以重新商定合同履行问题。</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十五、合同争议解决方式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甲乙双方协商解决  </w:t>
            </w:r>
            <w:r>
              <w:rPr>
                <w:rFonts w:ascii="宋体" w:hAnsi="宋体" w:eastAsia="宋体" w:cs="Times New Roman"/>
                <w:snapToGrid w:val="0"/>
                <w:sz w:val="18"/>
              </w:rPr>
              <w:t>□</w:t>
            </w:r>
            <w:r>
              <w:rPr>
                <w:rFonts w:hint="eastAsia" w:ascii="宋体" w:hAnsi="宋体" w:eastAsia="宋体" w:cs="Times New Roman"/>
                <w:snapToGrid w:val="0"/>
                <w:sz w:val="18"/>
              </w:rPr>
              <w:t xml:space="preserve">提交甲方或乙方主管部门调解  </w:t>
            </w:r>
            <w:r>
              <w:rPr>
                <w:rFonts w:ascii="宋体" w:hAnsi="宋体" w:eastAsia="宋体" w:cs="Times New Roman"/>
                <w:snapToGrid w:val="0"/>
                <w:sz w:val="18"/>
              </w:rPr>
              <w:t>□</w:t>
            </w:r>
            <w:r>
              <w:rPr>
                <w:rFonts w:hint="eastAsia" w:ascii="宋体" w:hAnsi="宋体" w:eastAsia="宋体" w:cs="Times New Roman"/>
                <w:snapToGrid w:val="0"/>
                <w:sz w:val="18"/>
              </w:rPr>
              <w:t>提交</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仲裁委员会仲裁  </w:t>
            </w:r>
            <w:r>
              <w:rPr>
                <w:rFonts w:ascii="宋体" w:hAnsi="宋体" w:eastAsia="宋体" w:cs="Times New Roman"/>
                <w:snapToGrid w:val="0"/>
                <w:sz w:val="18"/>
              </w:rPr>
              <w:t>□</w:t>
            </w:r>
            <w:r>
              <w:rPr>
                <w:rFonts w:hint="eastAsia" w:ascii="宋体" w:hAnsi="宋体" w:eastAsia="宋体" w:cs="Times New Roman"/>
                <w:snapToGrid w:val="0"/>
                <w:sz w:val="18"/>
              </w:rPr>
              <w:t>依法向</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人民法院起诉。</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十六、合同生效</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草本合同由甲乙双方法定代表人或委托代理人签字并经单位盖章，由甲方报上级有关部门审批通过后，签订正式合同。</w:t>
            </w:r>
            <w:r>
              <w:rPr>
                <w:rFonts w:ascii="宋体" w:hAnsi="宋体" w:eastAsia="宋体" w:cs="Times New Roman"/>
                <w:snapToGrid w:val="0"/>
                <w:sz w:val="18"/>
              </w:rPr>
              <w:t xml:space="preserve"> </w:t>
            </w:r>
          </w:p>
          <w:p>
            <w:pPr>
              <w:adjustRightInd w:val="0"/>
              <w:snapToGrid w:val="0"/>
              <w:ind w:firstLine="248" w:firstLineChars="150"/>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正式合同由甲乙双方法定代表人或委托代理人签字并经单位盖章后生效。</w:t>
            </w:r>
          </w:p>
          <w:p>
            <w:pPr>
              <w:adjustRightInd w:val="0"/>
              <w:snapToGrid w:val="0"/>
              <w:ind w:firstLine="248" w:firstLineChars="150"/>
              <w:rPr>
                <w:rFonts w:ascii="宋体" w:hAnsi="宋体" w:eastAsia="宋体" w:cs="Times New Roman"/>
                <w:snapToGrid w:val="0"/>
                <w:sz w:val="18"/>
              </w:rPr>
            </w:pPr>
            <w:r>
              <w:rPr>
                <w:rFonts w:hint="eastAsia" w:cs="Times New Roman" w:asciiTheme="minorEastAsia" w:hAnsiTheme="minorEastAsia"/>
                <w:snapToGrid w:val="0"/>
                <w:sz w:val="18"/>
                <w:szCs w:val="18"/>
              </w:rPr>
              <w:t>正式合同一式</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份，甲方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份，乙方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份，具有同等法律效力。</w:t>
            </w:r>
            <w:r>
              <w:rPr>
                <w:rFonts w:cs="Times New Roman" w:asciiTheme="minorEastAsia" w:hAnsiTheme="minorEastAsia"/>
                <w:snapToGrid w:val="0"/>
                <w:sz w:val="18"/>
                <w:szCs w:val="18"/>
              </w:rPr>
              <w:t>□</w:t>
            </w:r>
            <w:r>
              <w:rPr>
                <w:rFonts w:hint="eastAsia" w:cs="Times New Roman" w:asciiTheme="minorEastAsia" w:hAnsiTheme="minorEastAsia"/>
                <w:snapToGrid w:val="0"/>
                <w:sz w:val="18"/>
                <w:szCs w:val="18"/>
              </w:rPr>
              <w:t>合同有效期限</w:t>
            </w:r>
            <w:r>
              <w:rPr>
                <w:rFonts w:hint="eastAsia" w:cs="Times New Roman" w:asciiTheme="minorEastAsia" w:hAnsiTheme="minorEastAsia"/>
                <w:snapToGrid w:val="0"/>
                <w:sz w:val="18"/>
                <w:szCs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十七、合同附件</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 xml:space="preserve"> □1.交货清单  □2.主要技术指标参数  □3.售后服务承诺  □4.易损易耗件清单  </w:t>
            </w:r>
          </w:p>
          <w:p>
            <w:pPr>
              <w:adjustRightInd w:val="0"/>
              <w:snapToGrid w:val="0"/>
              <w:ind w:firstLine="1411" w:firstLineChars="855"/>
              <w:rPr>
                <w:rFonts w:ascii="宋体" w:hAnsi="宋体" w:eastAsia="宋体" w:cs="Times New Roman"/>
                <w:snapToGrid w:val="0"/>
                <w:sz w:val="18"/>
              </w:rPr>
            </w:pPr>
            <w:r>
              <w:rPr>
                <w:rFonts w:hint="eastAsia" w:ascii="宋体" w:hAnsi="宋体" w:eastAsia="宋体" w:cs="Times New Roman"/>
                <w:snapToGrid w:val="0"/>
                <w:sz w:val="18"/>
              </w:rPr>
              <w:t>□5.</w:t>
            </w:r>
            <w:r>
              <w:rPr>
                <w:rFonts w:hint="eastAsia" w:ascii="仿宋_GB2312" w:hAnsi="Times New Roman" w:eastAsia="仿宋_GB2312" w:cs="Times New Roman"/>
                <w:sz w:val="32"/>
                <w:szCs w:val="32"/>
              </w:rPr>
              <w:t xml:space="preserve"> </w:t>
            </w:r>
            <w:r>
              <w:rPr>
                <w:rFonts w:hint="eastAsia" w:ascii="宋体" w:hAnsi="宋体" w:eastAsia="宋体" w:cs="Times New Roman"/>
                <w:snapToGrid w:val="0"/>
                <w:sz w:val="18"/>
              </w:rPr>
              <w:t>详见乙方参与采购人</w:t>
            </w:r>
            <w:r>
              <w:rPr>
                <w:rFonts w:ascii="宋体" w:hAnsi="宋体" w:eastAsia="宋体" w:cs="Times New Roman"/>
                <w:szCs w:val="21"/>
                <w:u w:val="single"/>
              </w:rPr>
              <w:t xml:space="preserve">     </w:t>
            </w:r>
            <w:r>
              <w:rPr>
                <w:rFonts w:hint="eastAsia" w:ascii="宋体" w:hAnsi="宋体" w:eastAsia="宋体" w:cs="Times New Roman"/>
                <w:snapToGrid w:val="0"/>
                <w:sz w:val="18"/>
              </w:rPr>
              <w:t>项目（项目编号：</w:t>
            </w:r>
            <w:r>
              <w:rPr>
                <w:rFonts w:ascii="宋体" w:hAnsi="宋体" w:eastAsia="宋体" w:cs="Times New Roman"/>
                <w:szCs w:val="21"/>
                <w:u w:val="single"/>
              </w:rPr>
              <w:t xml:space="preserve">     </w:t>
            </w:r>
            <w:r>
              <w:rPr>
                <w:rFonts w:hint="eastAsia" w:ascii="宋体" w:hAnsi="宋体" w:eastAsia="宋体" w:cs="Times New Roman"/>
                <w:snapToGrid w:val="0"/>
                <w:sz w:val="18"/>
              </w:rPr>
              <w:t>）投标文件和评审现场承诺，本合同不另附。</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十八、其    他</w:t>
            </w:r>
            <w:r>
              <w:rPr>
                <w:rFonts w:ascii="Times New Roman" w:hAnsi="Times New Roman" w:eastAsia="宋体" w:cs="Times New Roman"/>
                <w:b/>
                <w:bCs/>
                <w:snapToGrid w:val="0"/>
                <w:sz w:val="18"/>
              </w:rPr>
              <w:t xml:space="preserve"> </w:t>
            </w:r>
            <w:r>
              <w:rPr>
                <w:rFonts w:ascii="Times New Roman" w:hAnsi="Times New Roman" w:eastAsia="宋体" w:cs="Times New Roman"/>
                <w:snapToGrid w:val="0"/>
                <w:sz w:val="18"/>
                <w:u w:val="single"/>
              </w:rPr>
              <w:t xml:space="preserve">                                           </w:t>
            </w:r>
            <w:r>
              <w:rPr>
                <w:rFonts w:hint="eastAsia" w:ascii="Times New Roman" w:hAnsi="Times New Roman"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十九、</w:t>
            </w:r>
            <w:r>
              <w:rPr>
                <w:rFonts w:hint="eastAsia" w:ascii="Times New Roman" w:hAnsi="Times New Roman" w:eastAsia="宋体" w:cs="Times New Roman"/>
                <w:snapToGrid w:val="0"/>
                <w:sz w:val="18"/>
              </w:rPr>
              <w:t>未尽事宜由甲乙双方协商确定。</w:t>
            </w:r>
            <w:r>
              <w:rPr>
                <w:rFonts w:ascii="Times New Roman" w:hAnsi="Times New Roman" w:eastAsia="宋体" w:cs="Times New Roman"/>
                <w:snapToGrid w:val="0"/>
                <w:sz w:val="18"/>
              </w:rPr>
              <w:t xml:space="preserve"> </w:t>
            </w:r>
          </w:p>
        </w:tc>
      </w:tr>
    </w:tbl>
    <w:p>
      <w:pPr>
        <w:rPr>
          <w:rFonts w:ascii="黑体" w:hAnsi="Times New Roman" w:eastAsia="黑体" w:cs="Times New Roman"/>
          <w:sz w:val="28"/>
          <w:szCs w:val="28"/>
        </w:rPr>
      </w:pPr>
    </w:p>
    <w:p>
      <w:pPr>
        <w:widowControl/>
        <w:jc w:val="left"/>
        <w:rPr>
          <w:rFonts w:ascii="黑体" w:hAnsi="Times New Roman" w:eastAsia="黑体" w:cs="Times New Roman"/>
          <w:sz w:val="28"/>
          <w:szCs w:val="28"/>
        </w:rPr>
      </w:pPr>
      <w:r>
        <w:rPr>
          <w:rFonts w:ascii="黑体" w:hAnsi="Times New Roman" w:eastAsia="黑体" w:cs="Times New Roman"/>
          <w:sz w:val="28"/>
          <w:szCs w:val="28"/>
        </w:rPr>
        <w:br w:type="page"/>
      </w:r>
    </w:p>
    <w:p>
      <w:pPr>
        <w:rPr>
          <w:rFonts w:ascii="黑体" w:hAnsi="Times New Roman" w:eastAsia="黑体" w:cs="Times New Roman"/>
          <w:sz w:val="28"/>
          <w:szCs w:val="28"/>
        </w:rPr>
      </w:pPr>
      <w:r>
        <w:rPr>
          <w:rFonts w:hint="eastAsia" w:ascii="黑体" w:hAnsi="Times New Roman" w:eastAsia="黑体" w:cs="Times New Roman"/>
          <w:sz w:val="28"/>
          <w:szCs w:val="28"/>
        </w:rPr>
        <w:t>附件1</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交货清单</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64"/>
        <w:gridCol w:w="2888"/>
        <w:gridCol w:w="2563"/>
        <w:gridCol w:w="1996"/>
        <w:gridCol w:w="1526"/>
        <w:gridCol w:w="822"/>
        <w:gridCol w:w="1761"/>
        <w:gridCol w:w="24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品名</w:t>
            </w:r>
          </w:p>
        </w:tc>
        <w:tc>
          <w:tcPr>
            <w:tcW w:w="256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生产厂家（品牌）</w:t>
            </w: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规格型号</w:t>
            </w: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单位</w:t>
            </w:r>
          </w:p>
        </w:tc>
        <w:tc>
          <w:tcPr>
            <w:tcW w:w="1761" w:type="dxa"/>
            <w:tcBorders>
              <w:top w:val="single" w:color="000000" w:sz="4" w:space="0"/>
              <w:left w:val="single" w:color="000000" w:sz="4" w:space="0"/>
              <w:bottom w:val="single" w:color="000000" w:sz="4" w:space="0"/>
              <w:right w:val="single" w:color="auto"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单价</w:t>
            </w: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56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auto" w:sz="4" w:space="0"/>
            </w:tcBorders>
            <w:vAlign w:val="center"/>
          </w:tcPr>
          <w:p>
            <w:pPr>
              <w:jc w:val="center"/>
              <w:rPr>
                <w:rFonts w:ascii="Times New Roman" w:hAnsi="Times New Roman" w:eastAsia="宋体" w:cs="Times New Roman"/>
                <w:snapToGrid w:val="0"/>
                <w:kern w:val="0"/>
                <w:szCs w:val="21"/>
              </w:rPr>
            </w:pP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56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auto" w:sz="4" w:space="0"/>
            </w:tcBorders>
            <w:vAlign w:val="center"/>
          </w:tcPr>
          <w:p>
            <w:pPr>
              <w:jc w:val="center"/>
              <w:rPr>
                <w:rFonts w:ascii="Times New Roman" w:hAnsi="Times New Roman" w:eastAsia="宋体" w:cs="Times New Roman"/>
                <w:snapToGrid w:val="0"/>
                <w:kern w:val="0"/>
                <w:szCs w:val="21"/>
              </w:rPr>
            </w:pP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Cs w:val="21"/>
        </w:rPr>
      </w:pPr>
      <w:r>
        <w:rPr>
          <w:rFonts w:hint="eastAsia" w:ascii="Times New Roman" w:hAnsi="Times New Roman" w:eastAsia="宋体" w:cs="Times New Roman"/>
          <w:kern w:val="0"/>
          <w:szCs w:val="21"/>
        </w:rPr>
        <w:t>注：1.含备品备件。</w:t>
      </w:r>
    </w:p>
    <w:p>
      <w:pPr>
        <w:ind w:firstLine="39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2.按交货时可验视部分填写。</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附件2</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投标产品技术指标参数</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5"/>
        <w:gridCol w:w="5517"/>
        <w:gridCol w:w="84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551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配置</w:t>
            </w:r>
          </w:p>
        </w:tc>
        <w:tc>
          <w:tcPr>
            <w:tcW w:w="845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技术指标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51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845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51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845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附件3</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售后服务承诺</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附件4</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易损易耗件清单</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4"/>
        <w:gridCol w:w="2406"/>
        <w:gridCol w:w="2407"/>
        <w:gridCol w:w="2114"/>
        <w:gridCol w:w="1761"/>
        <w:gridCol w:w="1996"/>
        <w:gridCol w:w="1644"/>
        <w:gridCol w:w="16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kern w:val="0"/>
                <w:szCs w:val="21"/>
              </w:rPr>
              <w:t>易损易耗件</w:t>
            </w:r>
            <w:r>
              <w:rPr>
                <w:rFonts w:hint="eastAsia" w:ascii="Times New Roman" w:hAnsi="Times New Roman" w:eastAsia="宋体" w:cs="Times New Roman"/>
                <w:snapToGrid w:val="0"/>
                <w:kern w:val="0"/>
                <w:szCs w:val="21"/>
              </w:rPr>
              <w:t>名称</w:t>
            </w:r>
          </w:p>
        </w:tc>
        <w:tc>
          <w:tcPr>
            <w:tcW w:w="24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规格型号</w:t>
            </w:r>
          </w:p>
        </w:tc>
        <w:tc>
          <w:tcPr>
            <w:tcW w:w="211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生产厂家（品牌）</w:t>
            </w: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单价</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 w:val="28"/>
          <w:szCs w:val="28"/>
        </w:rPr>
      </w:pPr>
    </w:p>
    <w:p>
      <w:pPr>
        <w:jc w:val="center"/>
        <w:rPr>
          <w:rFonts w:ascii="Times New Roman" w:hAnsi="Times New Roman" w:eastAsia="宋体" w:cs="Times New Roman"/>
          <w:kern w:val="0"/>
          <w:sz w:val="28"/>
          <w:szCs w:val="28"/>
        </w:rPr>
        <w:sectPr>
          <w:headerReference r:id="rId8" w:type="default"/>
          <w:footerReference r:id="rId9" w:type="default"/>
          <w:pgSz w:w="16838" w:h="11906" w:orient="landscape"/>
          <w:pgMar w:top="1021" w:right="1134" w:bottom="567" w:left="1134" w:header="567" w:footer="567" w:gutter="0"/>
          <w:cols w:space="425" w:num="1"/>
          <w:docGrid w:type="linesAndChars" w:linePitch="412" w:charSpace="-3223"/>
        </w:sectPr>
      </w:pPr>
    </w:p>
    <w:p>
      <w:pPr>
        <w:jc w:val="center"/>
        <w:outlineLvl w:val="0"/>
        <w:rPr>
          <w:rFonts w:ascii="黑体" w:hAnsi="黑体" w:eastAsia="黑体" w:cs="Times New Roman"/>
          <w:kern w:val="0"/>
          <w:sz w:val="32"/>
          <w:szCs w:val="32"/>
        </w:rPr>
      </w:pPr>
      <w:bookmarkStart w:id="18" w:name="_Toc285612604"/>
      <w:bookmarkStart w:id="19" w:name="_Toc390713970"/>
      <w:bookmarkStart w:id="20" w:name="_Toc240432233"/>
      <w:bookmarkStart w:id="21" w:name="_Toc37172691"/>
      <w:bookmarkStart w:id="22" w:name="_Toc435540982"/>
      <w:r>
        <w:rPr>
          <w:rFonts w:hint="eastAsia" w:ascii="黑体" w:hAnsi="黑体" w:eastAsia="黑体" w:cs="Times New Roman"/>
          <w:kern w:val="0"/>
          <w:sz w:val="32"/>
          <w:szCs w:val="32"/>
        </w:rPr>
        <w:t>第五部分  附件/投标文件格式</w:t>
      </w:r>
      <w:bookmarkEnd w:id="18"/>
      <w:bookmarkEnd w:id="19"/>
      <w:bookmarkEnd w:id="20"/>
      <w:bookmarkEnd w:id="21"/>
      <w:bookmarkEnd w:id="22"/>
    </w:p>
    <w:p>
      <w:pPr>
        <w:rPr>
          <w:rFonts w:cs="Times New Roman" w:asciiTheme="majorEastAsia" w:hAnsiTheme="majorEastAsia" w:eastAsiaTheme="majorEastAsia"/>
          <w:kern w:val="0"/>
          <w:sz w:val="30"/>
          <w:szCs w:val="30"/>
        </w:rPr>
      </w:pP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附件1：开标一览表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附件2：分项报价表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附件3：投标函</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附件4：货物简要说明一览表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附件5：主要技术性能参数表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附件6：技术指标参数响应偏离表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附件7：主要商务条款响应偏离表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附件8：交货清单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附件9：易损易耗备件清单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附件10：专机配套耗材（试剂）明细表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附件11：投标人售后服务承诺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附件12：生产厂家售后服务承诺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附件13：近3年中标成交案例及同类项目案例</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附件14：技术评审表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附件15：商务评审表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附件16：法定代表人资格证明书（含法定代表人身份证复印件）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附件17：法定代表人授权书（含法定代表人身份证复印件）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附件18：主要股东或出资人信息</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附件19：保密承诺书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附件20：廉洁诚信承诺书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附件21：相关声明书（包含但不限于以下内容：①非外资企业或外资控股企业的书面声明；②参加本次采购活动前3年内在经营活动中没有重大违法记录的书面声明）</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附件22：生产企业对代理公司投标授权书</w:t>
      </w: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sectPr>
          <w:headerReference r:id="rId10" w:type="default"/>
          <w:pgSz w:w="11906" w:h="16838"/>
          <w:pgMar w:top="2098" w:right="1474" w:bottom="1985" w:left="1588" w:header="851" w:footer="851" w:gutter="0"/>
          <w:cols w:space="720" w:num="1"/>
          <w:docGrid w:type="linesAndChars" w:linePitch="579" w:charSpace="-1844"/>
        </w:sect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开标一览表</w:t>
      </w:r>
    </w:p>
    <w:p>
      <w:pPr>
        <w:rPr>
          <w:rFonts w:ascii="Times New Roman" w:hAnsi="Times New Roman" w:eastAsia="宋体" w:cs="Times New Roman"/>
          <w:kern w:val="0"/>
          <w:sz w:val="28"/>
          <w:szCs w:val="28"/>
        </w:rPr>
      </w:pPr>
    </w:p>
    <w:p>
      <w:pPr>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项目编号：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b/>
          <w:kern w:val="0"/>
          <w:sz w:val="24"/>
          <w:szCs w:val="24"/>
        </w:rPr>
        <w:t>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804"/>
        <w:gridCol w:w="1039"/>
        <w:gridCol w:w="2268"/>
        <w:gridCol w:w="1842"/>
        <w:gridCol w:w="851"/>
        <w:gridCol w:w="850"/>
        <w:gridCol w:w="1134"/>
        <w:gridCol w:w="1276"/>
        <w:gridCol w:w="1559"/>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0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品牌</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（含税）</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p>
            <w:pPr>
              <w:jc w:val="center"/>
              <w:rPr>
                <w:rFonts w:ascii="宋体" w:hAnsi="宋体" w:eastAsia="宋体" w:cs="Times New Roman"/>
                <w:bCs/>
                <w:spacing w:val="-4"/>
                <w:kern w:val="0"/>
                <w:sz w:val="24"/>
                <w:szCs w:val="24"/>
              </w:rPr>
            </w:pPr>
            <w:r>
              <w:rPr>
                <w:rFonts w:hint="eastAsia" w:ascii="宋体" w:hAnsi="宋体" w:eastAsia="宋体" w:cs="Times New Roman"/>
                <w:kern w:val="0"/>
                <w:sz w:val="24"/>
                <w:szCs w:val="24"/>
              </w:rPr>
              <w:t>（含税）</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交货时间</w:t>
            </w:r>
          </w:p>
        </w:tc>
        <w:tc>
          <w:tcPr>
            <w:tcW w:w="10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897"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kern w:val="0"/>
                <w:sz w:val="24"/>
                <w:szCs w:val="24"/>
              </w:rPr>
              <w:t>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计</w:t>
            </w: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4786" w:type="dxa"/>
            <w:gridSpan w:val="1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bCs/>
                <w:spacing w:val="-4"/>
                <w:kern w:val="0"/>
                <w:sz w:val="24"/>
                <w:szCs w:val="24"/>
              </w:rPr>
              <w:t>投标总价（人民币大写）：</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 xml:space="preserve"> </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（小写）</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09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r>
              <w:rPr>
                <w:rFonts w:hint="eastAsia" w:ascii="宋体" w:hAnsi="宋体" w:eastAsia="宋体" w:cs="Times New Roman"/>
                <w:bCs/>
                <w:spacing w:val="-4"/>
                <w:kern w:val="0"/>
                <w:sz w:val="24"/>
                <w:szCs w:val="24"/>
              </w:rPr>
              <w:t>保修期（年）</w:t>
            </w:r>
          </w:p>
        </w:tc>
        <w:tc>
          <w:tcPr>
            <w:tcW w:w="12693"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hint="eastAsia" w:ascii="Times New Roman" w:hAnsi="Times New Roman" w:eastAsia="宋体" w:cs="Times New Roman"/>
          <w:kern w:val="0"/>
          <w:sz w:val="24"/>
          <w:szCs w:val="24"/>
        </w:rPr>
        <w:t>总价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单价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数量</w:t>
      </w:r>
      <w:r>
        <w:rPr>
          <w:rFonts w:hint="eastAsia" w:ascii="宋体" w:hAnsi="宋体" w:eastAsia="宋体" w:cs="Times New Roman"/>
          <w:kern w:val="0"/>
          <w:sz w:val="24"/>
          <w:szCs w:val="24"/>
        </w:rPr>
        <w:t>，货物总金额</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总价之和</w:t>
      </w:r>
      <w:r>
        <w:rPr>
          <w:rFonts w:hint="eastAsia" w:ascii="宋体" w:hAnsi="宋体" w:eastAsia="宋体" w:cs="Times New Roman"/>
          <w:kern w:val="0"/>
          <w:sz w:val="24"/>
          <w:szCs w:val="24"/>
        </w:rPr>
        <w:t>。</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投标人全称：（盖章）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rPr>
          <w:rFonts w:ascii="宋体" w:hAnsi="宋体" w:eastAsia="宋体" w:cs="Times New Roman"/>
          <w:color w:val="0000FF"/>
          <w:kern w:val="0"/>
          <w:sz w:val="24"/>
          <w:szCs w:val="24"/>
        </w:rPr>
      </w:pPr>
    </w:p>
    <w:p>
      <w:pPr>
        <w:rPr>
          <w:rFonts w:ascii="黑体" w:hAnsi="黑体" w:eastAsia="黑体" w:cs="Times New Roman"/>
          <w:color w:val="0000FF"/>
          <w:kern w:val="0"/>
          <w:sz w:val="28"/>
          <w:szCs w:val="28"/>
        </w:rPr>
      </w:pPr>
    </w:p>
    <w:p>
      <w:pPr>
        <w:rPr>
          <w:rFonts w:hint="eastAsia" w:ascii="黑体" w:hAnsi="黑体" w:eastAsia="黑体" w:cs="Times New Roman"/>
          <w:kern w:val="0"/>
          <w:sz w:val="32"/>
          <w:szCs w:val="32"/>
        </w:rPr>
      </w:pPr>
      <w:r>
        <w:rPr>
          <w:rFonts w:hint="eastAsia"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分项报价表</w:t>
      </w:r>
    </w:p>
    <w:p>
      <w:pPr>
        <w:tabs>
          <w:tab w:val="left" w:pos="1215"/>
        </w:tabs>
        <w:jc w:val="left"/>
        <w:rPr>
          <w:rFonts w:ascii="宋体" w:hAnsi="宋体" w:eastAsia="宋体" w:cs="Times New Roman"/>
          <w:kern w:val="0"/>
          <w:sz w:val="24"/>
          <w:szCs w:val="24"/>
        </w:rPr>
      </w:pPr>
      <w:r>
        <w:rPr>
          <w:rFonts w:ascii="宋体" w:hAnsi="宋体" w:eastAsia="宋体" w:cs="Times New Roman"/>
          <w:kern w:val="0"/>
          <w:sz w:val="24"/>
          <w:szCs w:val="24"/>
        </w:rPr>
        <w:tab/>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spacing w:val="8"/>
          <w:kern w:val="0"/>
          <w:sz w:val="24"/>
          <w:szCs w:val="24"/>
        </w:rPr>
        <w:t>项目编</w:t>
      </w:r>
      <w:r>
        <w:rPr>
          <w:rFonts w:hint="eastAsia" w:ascii="宋体" w:hAnsi="宋体" w:eastAsia="宋体" w:cs="Times New Roman"/>
          <w:kern w:val="0"/>
          <w:sz w:val="24"/>
          <w:szCs w:val="24"/>
        </w:rPr>
        <w:t>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2014"/>
        <w:gridCol w:w="1701"/>
        <w:gridCol w:w="1559"/>
        <w:gridCol w:w="2693"/>
        <w:gridCol w:w="851"/>
        <w:gridCol w:w="850"/>
        <w:gridCol w:w="992"/>
        <w:gridCol w:w="1276"/>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原产地</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786"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4"/>
                <w:szCs w:val="24"/>
              </w:rPr>
            </w:pPr>
            <w:r>
              <w:rPr>
                <w:rFonts w:hint="eastAsia" w:ascii="宋体" w:hAnsi="宋体" w:eastAsia="宋体" w:cs="Times New Roman"/>
                <w:kern w:val="0"/>
                <w:sz w:val="24"/>
                <w:szCs w:val="24"/>
              </w:rPr>
              <w:t>货物总金额（大写人民币）：</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w:t>
            </w: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ascii="宋体" w:hAnsi="宋体" w:eastAsia="宋体" w:cs="Times New Roman"/>
          <w:kern w:val="0"/>
          <w:sz w:val="24"/>
          <w:szCs w:val="24"/>
        </w:rPr>
        <w:t>1.</w:t>
      </w:r>
      <w:r>
        <w:rPr>
          <w:rFonts w:hint="eastAsia" w:ascii="宋体" w:hAnsi="宋体" w:eastAsia="宋体" w:cs="Times New Roman"/>
          <w:kern w:val="0"/>
          <w:sz w:val="24"/>
          <w:szCs w:val="24"/>
        </w:rPr>
        <w:t xml:space="preserve"> 根据货物简要说明一览表中分项填写。</w:t>
      </w:r>
    </w:p>
    <w:p>
      <w:pPr>
        <w:rPr>
          <w:rFonts w:ascii="宋体" w:hAnsi="宋体" w:eastAsia="宋体" w:cs="Times New Roman"/>
          <w:kern w:val="0"/>
          <w:sz w:val="24"/>
          <w:szCs w:val="24"/>
        </w:rPr>
      </w:pPr>
      <w:r>
        <w:rPr>
          <w:rFonts w:ascii="宋体" w:hAnsi="宋体" w:eastAsia="宋体" w:cs="Times New Roman"/>
          <w:kern w:val="0"/>
          <w:sz w:val="24"/>
          <w:szCs w:val="24"/>
        </w:rPr>
        <w:t xml:space="preserve">          </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投标人全称：（盖章）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ind w:firstLine="480" w:firstLineChars="200"/>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jc w:val="center"/>
        <w:rPr>
          <w:rFonts w:ascii="宋体" w:hAnsi="宋体" w:eastAsia="宋体" w:cs="Times New Roman"/>
          <w:color w:val="0000FF"/>
          <w:kern w:val="0"/>
          <w:sz w:val="24"/>
          <w:szCs w:val="24"/>
        </w:rPr>
        <w:sectPr>
          <w:headerReference r:id="rId11" w:type="default"/>
          <w:pgSz w:w="16838" w:h="11906" w:orient="landscape"/>
          <w:pgMar w:top="1134" w:right="1134" w:bottom="1134" w:left="1134" w:header="851" w:footer="964" w:gutter="0"/>
          <w:cols w:space="720" w:num="1"/>
          <w:docGrid w:linePitch="510" w:charSpace="-1844"/>
        </w:sectPr>
      </w:pPr>
    </w:p>
    <w:p>
      <w:pPr>
        <w:rPr>
          <w:rFonts w:ascii="黑体" w:hAnsi="黑体" w:eastAsia="黑体" w:cs="Times New Roman"/>
          <w:kern w:val="0"/>
          <w:sz w:val="32"/>
          <w:szCs w:val="32"/>
        </w:rPr>
      </w:pPr>
      <w:bookmarkStart w:id="23" w:name="_Toc285612606"/>
      <w:r>
        <w:rPr>
          <w:rFonts w:hint="eastAsia" w:ascii="黑体" w:hAnsi="黑体" w:eastAsia="黑体" w:cs="Times New Roman"/>
          <w:kern w:val="0"/>
          <w:sz w:val="32"/>
          <w:szCs w:val="32"/>
        </w:rPr>
        <w:t>附件3</w:t>
      </w:r>
    </w:p>
    <w:p>
      <w:pPr>
        <w:adjustRightInd w:val="0"/>
        <w:snapToGrid w:val="0"/>
        <w:spacing w:line="440" w:lineRule="exact"/>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投  标  函</w:t>
      </w:r>
    </w:p>
    <w:p>
      <w:pPr>
        <w:adjustRightInd w:val="0"/>
        <w:snapToGrid w:val="0"/>
        <w:spacing w:line="440" w:lineRule="exact"/>
        <w:rPr>
          <w:rFonts w:ascii="Times New Roman" w:hAnsi="Times New Roman" w:eastAsia="宋体" w:cs="Times New Roman"/>
          <w:kern w:val="0"/>
          <w:sz w:val="28"/>
          <w:szCs w:val="28"/>
        </w:rPr>
      </w:pPr>
    </w:p>
    <w:p>
      <w:pPr>
        <w:adjustRightInd w:val="0"/>
        <w:snapToGrid w:val="0"/>
        <w:spacing w:line="440" w:lineRule="exact"/>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我方参加贵单位组织的</w:t>
      </w:r>
      <w:r>
        <w:rPr>
          <w:rFonts w:hint="eastAsia" w:cs="Times New Roman" w:asciiTheme="minorEastAsia" w:hAnsiTheme="minorEastAsia"/>
          <w:kern w:val="0"/>
          <w:sz w:val="28"/>
          <w:szCs w:val="28"/>
          <w:u w:val="single"/>
        </w:rPr>
        <w:t>（项目编号、项目名称）</w:t>
      </w:r>
      <w:r>
        <w:rPr>
          <w:rFonts w:hint="eastAsia" w:cs="Times New Roman" w:asciiTheme="minorEastAsia" w:hAnsiTheme="minorEastAsia"/>
          <w:kern w:val="0"/>
          <w:sz w:val="28"/>
          <w:szCs w:val="28"/>
        </w:rPr>
        <w:t>招标采购活动，并对</w:t>
      </w:r>
      <w:r>
        <w:rPr>
          <w:rFonts w:hint="eastAsia" w:cs="Times New Roman" w:asciiTheme="minorEastAsia" w:hAnsiTheme="minorEastAsia"/>
          <w:kern w:val="0"/>
          <w:sz w:val="28"/>
          <w:szCs w:val="28"/>
          <w:u w:val="single"/>
        </w:rPr>
        <w:t xml:space="preserve">   （货物名称）  </w:t>
      </w:r>
      <w:r>
        <w:rPr>
          <w:rFonts w:hint="eastAsia" w:cs="Times New Roman" w:asciiTheme="minorEastAsia" w:hAnsiTheme="minorEastAsia"/>
          <w:kern w:val="0"/>
          <w:sz w:val="28"/>
          <w:szCs w:val="28"/>
        </w:rPr>
        <w:t>进行投标。</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一、按照招标文件规定递交投标文件正本</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份和副本</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份。其中，《价格文件》1份单独密封提交。</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二、我方已完全理解招标文件的全部内容，自愿接受并执行招标文件的全部条款。</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三、本投标文件有效期自开标之日起180日内有效。</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四、我方在参与投标前已仔细研究了招标文件和所有相关资料，同意招标文件的相关条款。</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五、我方声明投标文件及所提供的一切资料均真实有效。由于我方提供资料不实而造成的责任和后果由我方承担。我方同意按照贵部要求，提供与招标有关数据或信息。</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六、我方承诺自愿遵守、执行国家、军队相关采购管理法规制度及政策规定。</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七、联系方式</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联 系 人：        电话：          传    真：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地    址：                        邮政编码：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开户名称：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开户银行：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银行账号：                        </w:t>
      </w:r>
    </w:p>
    <w:p>
      <w:pPr>
        <w:adjustRightInd w:val="0"/>
        <w:snapToGrid w:val="0"/>
        <w:spacing w:line="440" w:lineRule="exact"/>
        <w:ind w:firstLine="1328" w:firstLineChars="490"/>
        <w:rPr>
          <w:rFonts w:cs="Times New Roman" w:asciiTheme="minorEastAsia" w:hAnsiTheme="minorEastAsia"/>
          <w:kern w:val="0"/>
          <w:sz w:val="28"/>
          <w:szCs w:val="28"/>
        </w:rPr>
      </w:pPr>
    </w:p>
    <w:p>
      <w:pPr>
        <w:adjustRightInd w:val="0"/>
        <w:snapToGrid w:val="0"/>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adjustRightInd w:val="0"/>
        <w:snapToGrid w:val="0"/>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adjustRightInd w:val="0"/>
        <w:snapToGrid w:val="0"/>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bookmarkEnd w:id="23"/>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附件4</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货物简要说明一览表</w:t>
      </w:r>
    </w:p>
    <w:p>
      <w:pPr>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项目名称：                           项目编号：                         </w:t>
      </w:r>
    </w:p>
    <w:tbl>
      <w:tblPr>
        <w:tblStyle w:val="17"/>
        <w:tblW w:w="5000" w:type="pct"/>
        <w:jc w:val="center"/>
        <w:tblLayout w:type="autofit"/>
        <w:tblCellMar>
          <w:top w:w="0" w:type="dxa"/>
          <w:left w:w="0" w:type="dxa"/>
          <w:bottom w:w="0" w:type="dxa"/>
          <w:right w:w="0" w:type="dxa"/>
        </w:tblCellMar>
      </w:tblPr>
      <w:tblGrid>
        <w:gridCol w:w="648"/>
        <w:gridCol w:w="1924"/>
        <w:gridCol w:w="1276"/>
        <w:gridCol w:w="992"/>
        <w:gridCol w:w="850"/>
        <w:gridCol w:w="1871"/>
        <w:gridCol w:w="1323"/>
      </w:tblGrid>
      <w:tr>
        <w:tblPrEx>
          <w:tblCellMar>
            <w:top w:w="0" w:type="dxa"/>
            <w:left w:w="0" w:type="dxa"/>
            <w:bottom w:w="0" w:type="dxa"/>
            <w:right w:w="0" w:type="dxa"/>
          </w:tblCellMar>
        </w:tblPrEx>
        <w:trPr>
          <w:trHeight w:val="851" w:hRule="exact"/>
          <w:jc w:val="center"/>
        </w:trPr>
        <w:tc>
          <w:tcPr>
            <w:tcW w:w="648" w:type="dxa"/>
            <w:tcBorders>
              <w:top w:val="single" w:color="auto" w:sz="8" w:space="0"/>
              <w:left w:val="single" w:color="auto" w:sz="8" w:space="0"/>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序号</w:t>
            </w:r>
          </w:p>
        </w:tc>
        <w:tc>
          <w:tcPr>
            <w:tcW w:w="1924"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主要部件名称</w:t>
            </w:r>
          </w:p>
        </w:tc>
        <w:tc>
          <w:tcPr>
            <w:tcW w:w="1276" w:type="dxa"/>
            <w:tcBorders>
              <w:top w:val="single" w:color="auto" w:sz="8" w:space="0"/>
              <w:left w:val="nil"/>
              <w:bottom w:val="single" w:color="auto" w:sz="4" w:space="0"/>
              <w:right w:val="single" w:color="auto" w:sz="4" w:space="0"/>
            </w:tcBorders>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规格型号</w:t>
            </w:r>
          </w:p>
        </w:tc>
        <w:tc>
          <w:tcPr>
            <w:tcW w:w="992"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计量</w:t>
            </w:r>
          </w:p>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单位</w:t>
            </w:r>
          </w:p>
        </w:tc>
        <w:tc>
          <w:tcPr>
            <w:tcW w:w="850"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数量</w:t>
            </w:r>
          </w:p>
        </w:tc>
        <w:tc>
          <w:tcPr>
            <w:tcW w:w="1871"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性能用途说明</w:t>
            </w:r>
          </w:p>
        </w:tc>
        <w:tc>
          <w:tcPr>
            <w:tcW w:w="1323" w:type="dxa"/>
            <w:tcBorders>
              <w:top w:val="single" w:color="auto" w:sz="8" w:space="0"/>
              <w:left w:val="nil"/>
              <w:bottom w:val="single" w:color="auto" w:sz="4" w:space="0"/>
              <w:right w:val="single" w:color="auto" w:sz="8"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备注</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bl>
    <w:p>
      <w:pPr>
        <w:rPr>
          <w:rFonts w:cs="Times New Roman" w:asciiTheme="minorEastAsia" w:hAnsiTheme="minorEastAsia"/>
          <w:kern w:val="0"/>
          <w:sz w:val="24"/>
          <w:szCs w:val="24"/>
          <w:lang w:val="zh-CN"/>
        </w:rPr>
      </w:pPr>
    </w:p>
    <w:p>
      <w:pPr>
        <w:rPr>
          <w:rFonts w:cs="Times New Roman" w:asciiTheme="minorEastAsia" w:hAnsiTheme="minorEastAsia"/>
          <w:kern w:val="0"/>
          <w:sz w:val="24"/>
          <w:szCs w:val="24"/>
          <w:lang w:val="zh-CN"/>
        </w:rPr>
      </w:pPr>
    </w:p>
    <w:p>
      <w:pPr>
        <w:ind w:firstLine="2024" w:firstLineChars="747"/>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right="539" w:firstLine="1992" w:firstLineChars="735"/>
        <w:rPr>
          <w:rFonts w:cs="Times New Roman" w:asciiTheme="minorEastAsia" w:hAnsiTheme="minorEastAsia"/>
          <w:kern w:val="0"/>
          <w:sz w:val="28"/>
          <w:szCs w:val="28"/>
        </w:rPr>
      </w:pPr>
      <w:r>
        <w:rPr>
          <w:rFonts w:hint="eastAsia" w:cs="宋体" w:asciiTheme="minorEastAsia" w:hAnsiTheme="minorEastAsia"/>
          <w:kern w:val="0"/>
          <w:sz w:val="28"/>
          <w:szCs w:val="28"/>
          <w:lang w:val="zh-CN"/>
        </w:rPr>
        <w:t>法定代表人（或授权代表）：（签字或盖章）</w:t>
      </w:r>
    </w:p>
    <w:p>
      <w:pPr>
        <w:widowControl/>
        <w:ind w:firstLine="3453" w:firstLineChars="1274"/>
        <w:jc w:val="left"/>
        <w:rPr>
          <w:rFonts w:ascii="黑体" w:hAnsi="黑体" w:eastAsia="黑体" w:cs="Times New Roman"/>
          <w:kern w:val="0"/>
          <w:sz w:val="32"/>
          <w:szCs w:val="32"/>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附件5</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主要技术性能参数表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Layout w:type="autofit"/>
        <w:tblCellMar>
          <w:top w:w="0" w:type="dxa"/>
          <w:left w:w="108" w:type="dxa"/>
          <w:bottom w:w="0" w:type="dxa"/>
          <w:right w:w="108" w:type="dxa"/>
        </w:tblCellMar>
      </w:tblPr>
      <w:tblGrid>
        <w:gridCol w:w="812"/>
        <w:gridCol w:w="2939"/>
        <w:gridCol w:w="2470"/>
        <w:gridCol w:w="2839"/>
      </w:tblGrid>
      <w:tr>
        <w:tblPrEx>
          <w:tblCellMar>
            <w:top w:w="0" w:type="dxa"/>
            <w:left w:w="108" w:type="dxa"/>
            <w:bottom w:w="0" w:type="dxa"/>
            <w:right w:w="108" w:type="dxa"/>
          </w:tblCellMar>
        </w:tblPrEx>
        <w:trPr>
          <w:trHeight w:val="630"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939" w:type="dxa"/>
            <w:tcBorders>
              <w:top w:val="single" w:color="auto" w:sz="4" w:space="0"/>
              <w:left w:val="nil"/>
              <w:bottom w:val="single" w:color="auto" w:sz="4" w:space="0"/>
              <w:right w:val="single" w:color="auto" w:sz="4" w:space="0"/>
            </w:tcBorders>
            <w:vAlign w:val="center"/>
          </w:tcPr>
          <w:p>
            <w:pPr>
              <w:widowControl/>
              <w:ind w:firstLine="231" w:firstLineChars="100"/>
              <w:jc w:val="center"/>
              <w:rPr>
                <w:rFonts w:ascii="宋体" w:hAnsi="宋体" w:eastAsia="宋体" w:cs="Times New Roman"/>
                <w:kern w:val="0"/>
                <w:sz w:val="24"/>
                <w:szCs w:val="24"/>
              </w:rPr>
            </w:pPr>
            <w:r>
              <w:rPr>
                <w:rFonts w:hint="eastAsia" w:ascii="宋体" w:hAnsi="宋体" w:eastAsia="宋体" w:cs="Times New Roman"/>
                <w:kern w:val="0"/>
                <w:sz w:val="24"/>
                <w:szCs w:val="24"/>
              </w:rPr>
              <w:t>物资名称</w:t>
            </w:r>
          </w:p>
        </w:tc>
        <w:tc>
          <w:tcPr>
            <w:tcW w:w="2470" w:type="dxa"/>
            <w:tcBorders>
              <w:top w:val="single" w:color="auto" w:sz="4" w:space="0"/>
              <w:left w:val="nil"/>
              <w:bottom w:val="single" w:color="auto" w:sz="4" w:space="0"/>
              <w:right w:val="single" w:color="auto" w:sz="4" w:space="0"/>
            </w:tcBorders>
            <w:vAlign w:val="center"/>
          </w:tcPr>
          <w:p>
            <w:pPr>
              <w:widowControl/>
              <w:ind w:firstLine="578" w:firstLineChars="250"/>
              <w:jc w:val="center"/>
              <w:rPr>
                <w:rFonts w:ascii="宋体" w:hAnsi="宋体" w:eastAsia="宋体" w:cs="Times New Roman"/>
                <w:kern w:val="0"/>
                <w:sz w:val="24"/>
                <w:szCs w:val="24"/>
              </w:rPr>
            </w:pPr>
            <w:r>
              <w:rPr>
                <w:rFonts w:hint="eastAsia" w:ascii="宋体" w:hAnsi="宋体" w:eastAsia="宋体" w:cs="Times New Roman"/>
                <w:kern w:val="0"/>
                <w:sz w:val="24"/>
                <w:szCs w:val="24"/>
              </w:rPr>
              <w:t>技术参数</w:t>
            </w:r>
          </w:p>
        </w:tc>
        <w:tc>
          <w:tcPr>
            <w:tcW w:w="2839"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执行标准</w:t>
            </w: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bl>
    <w:p>
      <w:pPr>
        <w:ind w:firstLine="462" w:firstLineChars="200"/>
        <w:rPr>
          <w:rFonts w:ascii="宋体" w:hAnsi="宋体" w:eastAsia="宋体" w:cs="Times New Roman"/>
          <w:kern w:val="0"/>
          <w:sz w:val="24"/>
          <w:szCs w:val="24"/>
        </w:rPr>
      </w:pPr>
    </w:p>
    <w:p>
      <w:pPr>
        <w:rPr>
          <w:rFonts w:ascii="宋体" w:hAnsi="宋体" w:eastAsia="宋体" w:cs="Times New Roman"/>
          <w:kern w:val="0"/>
          <w:sz w:val="24"/>
          <w:szCs w:val="24"/>
        </w:rPr>
      </w:pPr>
    </w:p>
    <w:p>
      <w:pPr>
        <w:ind w:firstLine="1626" w:firstLineChars="6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投标人全称：（盖章）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widowControl/>
        <w:jc w:val="left"/>
        <w:rPr>
          <w:rFonts w:ascii="仿宋_GB2312" w:hAnsi="宋体" w:eastAsia="仿宋_GB2312" w:cs="宋体"/>
          <w:kern w:val="0"/>
          <w:sz w:val="32"/>
          <w:szCs w:val="32"/>
          <w:lang w:val="zh-CN"/>
        </w:rPr>
      </w:pPr>
      <w:r>
        <w:rPr>
          <w:rFonts w:ascii="仿宋_GB2312" w:hAnsi="宋体" w:eastAsia="仿宋_GB2312" w:cs="宋体"/>
          <w:kern w:val="0"/>
          <w:sz w:val="32"/>
          <w:szCs w:val="32"/>
          <w:lang w:val="zh-CN"/>
        </w:rPr>
        <w:br w:type="page"/>
      </w:r>
    </w:p>
    <w:p>
      <w:pPr>
        <w:rPr>
          <w:rFonts w:ascii="仿宋_GB2312" w:hAnsi="宋体" w:eastAsia="仿宋_GB2312" w:cs="宋体"/>
          <w:kern w:val="0"/>
          <w:sz w:val="32"/>
          <w:szCs w:val="32"/>
        </w:rPr>
      </w:pPr>
      <w:r>
        <w:rPr>
          <w:rFonts w:hint="eastAsia" w:ascii="黑体" w:hAnsi="黑体" w:eastAsia="黑体" w:cs="Times New Roman"/>
          <w:kern w:val="0"/>
          <w:sz w:val="32"/>
          <w:szCs w:val="32"/>
        </w:rPr>
        <w:t>附件6</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技术指标参数响应偏离表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427"/>
        <w:gridCol w:w="2010"/>
        <w:gridCol w:w="2010"/>
        <w:gridCol w:w="1510"/>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1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货物</w:t>
            </w:r>
            <w:r>
              <w:rPr>
                <w:rFonts w:ascii="宋体" w:hAnsi="宋体" w:eastAsia="宋体" w:cs="Times New Roman"/>
                <w:kern w:val="0"/>
                <w:sz w:val="24"/>
                <w:szCs w:val="24"/>
              </w:rPr>
              <w:t>/</w:t>
            </w:r>
            <w:r>
              <w:rPr>
                <w:rFonts w:hint="eastAsia" w:ascii="宋体" w:hAnsi="宋体" w:eastAsia="宋体" w:cs="Times New Roman"/>
                <w:kern w:val="0"/>
                <w:sz w:val="24"/>
                <w:szCs w:val="24"/>
              </w:rPr>
              <w:t>部件</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名称</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要求</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响应</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偏离</w:t>
            </w:r>
          </w:p>
        </w:tc>
        <w:tc>
          <w:tcPr>
            <w:tcW w:w="13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bl>
    <w:p>
      <w:pPr>
        <w:ind w:firstLine="462" w:firstLineChars="200"/>
        <w:rPr>
          <w:rFonts w:ascii="宋体" w:hAnsi="宋体" w:eastAsia="宋体" w:cs="Times New Roman"/>
          <w:b/>
          <w:kern w:val="0"/>
          <w:sz w:val="24"/>
          <w:szCs w:val="24"/>
        </w:rPr>
      </w:pPr>
      <w:r>
        <w:rPr>
          <w:rFonts w:hint="eastAsia" w:ascii="宋体" w:hAnsi="宋体" w:eastAsia="宋体" w:cs="Times New Roman"/>
          <w:kern w:val="0"/>
          <w:sz w:val="24"/>
          <w:szCs w:val="24"/>
        </w:rPr>
        <w:t>说明：</w:t>
      </w:r>
      <w:r>
        <w:rPr>
          <w:rFonts w:hint="eastAsia" w:ascii="宋体" w:hAnsi="宋体" w:eastAsia="宋体" w:cs="Times New Roman"/>
          <w:bCs/>
          <w:kern w:val="0"/>
          <w:sz w:val="24"/>
          <w:szCs w:val="24"/>
        </w:rPr>
        <w:t>投标人应对照招标文件技术要求，逐条如实填写所投产品的具体指标参数，注明无偏离、正偏离或负偏离，并在备注中注明偏离的具体内容。</w:t>
      </w:r>
      <w:r>
        <w:rPr>
          <w:rFonts w:hint="eastAsia" w:ascii="宋体" w:hAnsi="宋体" w:eastAsia="宋体" w:cs="Times New Roman"/>
          <w:b/>
          <w:bCs/>
          <w:kern w:val="0"/>
          <w:sz w:val="24"/>
          <w:szCs w:val="24"/>
        </w:rPr>
        <w:t>技术指标参数响应栏如果原文复制招标文件技术要求，可能会被视为无效投标。</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附件7</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主要商务条款响应偏离表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914"/>
        <w:gridCol w:w="2271"/>
        <w:gridCol w:w="2611"/>
        <w:gridCol w:w="800"/>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序号</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招标文件条目号</w:t>
            </w: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ind w:firstLine="95" w:firstLineChars="41"/>
              <w:rPr>
                <w:rFonts w:cs="Times New Roman" w:asciiTheme="minorEastAsia" w:hAnsiTheme="minorEastAsia"/>
                <w:sz w:val="24"/>
                <w:szCs w:val="24"/>
              </w:rPr>
            </w:pPr>
            <w:r>
              <w:rPr>
                <w:rFonts w:hint="eastAsia" w:cs="Times New Roman" w:asciiTheme="minorEastAsia" w:hAnsiTheme="minorEastAsia"/>
                <w:kern w:val="0"/>
                <w:sz w:val="24"/>
                <w:szCs w:val="24"/>
              </w:rPr>
              <w:t>招标文件商务条款</w:t>
            </w: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投标文件商务条款响应</w:t>
            </w: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sz w:val="24"/>
                <w:szCs w:val="24"/>
              </w:rPr>
              <w:t>偏离</w:t>
            </w: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bl>
    <w:p>
      <w:pPr>
        <w:adjustRightInd w:val="0"/>
        <w:snapToGrid w:val="0"/>
        <w:spacing w:line="38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商务条款主要包括报价要求、售后服务、专利权和保密要求、交货时间、地点与方式、付款及结算方式等。如有遗漏，请投标人按照招标文件正文自行补充完整。</w:t>
      </w:r>
    </w:p>
    <w:p>
      <w:pPr>
        <w:adjustRightInd w:val="0"/>
        <w:snapToGrid w:val="0"/>
        <w:spacing w:line="380" w:lineRule="exact"/>
        <w:jc w:val="center"/>
        <w:rPr>
          <w:rFonts w:ascii="楷体_GB2312" w:eastAsia="楷体_GB2312" w:cs="Times New Roman" w:hAnsiTheme="minorEastAsia"/>
          <w:kern w:val="0"/>
          <w:sz w:val="24"/>
          <w:szCs w:val="24"/>
          <w:u w:val="single"/>
        </w:rPr>
      </w:pPr>
      <w:r>
        <w:rPr>
          <w:rFonts w:hint="eastAsia" w:ascii="楷体_GB2312" w:eastAsia="楷体_GB2312" w:cs="Times New Roman" w:hAnsiTheme="minorEastAsia"/>
          <w:kern w:val="0"/>
          <w:sz w:val="24"/>
          <w:szCs w:val="24"/>
          <w:u w:val="single"/>
        </w:rPr>
        <w:t>特别提示</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1.</w:t>
      </w:r>
      <w:r>
        <w:rPr>
          <w:rFonts w:hint="eastAsia" w:cs="Times New Roman" w:asciiTheme="minorEastAsia" w:hAnsiTheme="minorEastAsia"/>
          <w:kern w:val="0"/>
          <w:sz w:val="24"/>
          <w:szCs w:val="24"/>
        </w:rPr>
        <w:t>本表所列条款必须一一予以响应，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投标文件商务条款响应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一栏应填写具体的响应内容，有偏离的要具体说明，纸面不敷时，可以另加页。</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2.</w:t>
      </w:r>
      <w:r>
        <w:rPr>
          <w:rFonts w:hint="eastAsia" w:cs="Times New Roman" w:asciiTheme="minorEastAsia" w:hAnsiTheme="minorEastAsia"/>
          <w:kern w:val="0"/>
          <w:sz w:val="24"/>
          <w:szCs w:val="24"/>
        </w:rPr>
        <w:t>请投标人认真填写本表内容，如填写错误将可能导致投标无效。</w:t>
      </w:r>
    </w:p>
    <w:p>
      <w:pPr>
        <w:ind w:firstLine="3047" w:firstLineChars="1319"/>
        <w:rPr>
          <w:rFonts w:cs="Times New Roman" w:asciiTheme="minorEastAsia" w:hAnsiTheme="minorEastAsia"/>
          <w:kern w:val="0"/>
          <w:sz w:val="24"/>
          <w:szCs w:val="24"/>
        </w:rPr>
      </w:pPr>
    </w:p>
    <w:p>
      <w:pPr>
        <w:ind w:firstLine="3575" w:firstLineChars="1319"/>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交货清单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0"/>
        <w:gridCol w:w="1343"/>
        <w:gridCol w:w="1448"/>
        <w:gridCol w:w="1817"/>
        <w:gridCol w:w="1045"/>
        <w:gridCol w:w="967"/>
        <w:gridCol w:w="16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序号</w:t>
            </w: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品名</w:t>
            </w: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生产厂家</w:t>
            </w:r>
          </w:p>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（品牌）</w:t>
            </w: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规格型号</w:t>
            </w: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数量</w:t>
            </w: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单位</w:t>
            </w: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bl>
    <w:p>
      <w:pPr>
        <w:rPr>
          <w:rFonts w:ascii="Times New Roman" w:hAnsi="Times New Roman" w:eastAsia="宋体" w:cs="Times New Roman"/>
          <w:snapToGrid w:val="0"/>
          <w:kern w:val="0"/>
          <w:sz w:val="24"/>
          <w:szCs w:val="24"/>
        </w:rPr>
      </w:pPr>
    </w:p>
    <w:p>
      <w:pPr>
        <w:autoSpaceDE w:val="0"/>
        <w:autoSpaceDN w:val="0"/>
        <w:adjustRightInd w:val="0"/>
        <w:rPr>
          <w:rFonts w:ascii="Times New Roman" w:hAnsi="Times New Roman" w:eastAsia="宋体" w:cs="Times New Roman"/>
          <w:snapToGrid w:val="0"/>
          <w:kern w:val="0"/>
          <w:sz w:val="24"/>
          <w:szCs w:val="24"/>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ascii="黑体" w:hAnsi="黑体" w:eastAsia="黑体" w:cs="Times New Roman"/>
          <w:kern w:val="0"/>
          <w:sz w:val="32"/>
          <w:szCs w:val="32"/>
        </w:rPr>
      </w:pPr>
      <w:r>
        <w:rPr>
          <w:rFonts w:hint="eastAsia" w:cs="宋体" w:asciiTheme="minorEastAsia" w:hAnsiTheme="minorEastAsia"/>
          <w:kern w:val="0"/>
          <w:sz w:val="28"/>
          <w:szCs w:val="28"/>
          <w:lang w:val="zh-CN"/>
        </w:rPr>
        <w:t>年  月  日</w:t>
      </w:r>
      <w:r>
        <w:rPr>
          <w:rFonts w:ascii="Times New Roman" w:hAnsi="Times New Roman" w:eastAsia="宋体" w:cs="Times New Roman"/>
          <w:snapToGrid w:val="0"/>
          <w:kern w:val="0"/>
          <w:sz w:val="28"/>
          <w:szCs w:val="28"/>
          <w:lang w:val="zh-CN"/>
        </w:rPr>
        <w:br w:type="page"/>
      </w:r>
      <w:r>
        <w:rPr>
          <w:rFonts w:hint="eastAsia" w:ascii="黑体" w:hAnsi="黑体" w:eastAsia="黑体" w:cs="Times New Roman"/>
          <w:kern w:val="0"/>
          <w:sz w:val="32"/>
          <w:szCs w:val="32"/>
        </w:rPr>
        <w:t>附件9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易损易耗件清单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442"/>
        <w:gridCol w:w="1605"/>
        <w:gridCol w:w="1712"/>
        <w:gridCol w:w="709"/>
        <w:gridCol w:w="850"/>
        <w:gridCol w:w="1134"/>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易损易耗件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tc>
        <w:tc>
          <w:tcPr>
            <w:tcW w:w="160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17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生产厂家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（品牌）</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单价</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tabs>
          <w:tab w:val="left" w:pos="804"/>
        </w:tabs>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仿宋_GB2312" w:hAnsi="宋体" w:eastAsia="仿宋_GB2312" w:cs="宋体"/>
          <w:kern w:val="0"/>
          <w:sz w:val="32"/>
          <w:szCs w:val="32"/>
          <w:lang w:val="zh-CN"/>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专机配套耗材（试剂）明细表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1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42"/>
        <w:gridCol w:w="1332"/>
        <w:gridCol w:w="1276"/>
        <w:gridCol w:w="992"/>
        <w:gridCol w:w="1418"/>
        <w:gridCol w:w="1407"/>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物资名称</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生产厂家</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医疗器械注册证号</w:t>
            </w:r>
          </w:p>
          <w:p>
            <w:pPr>
              <w:widowControl/>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报价</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（单位/元）</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tabs>
          <w:tab w:val="left" w:pos="804"/>
        </w:tabs>
        <w:rPr>
          <w:rFonts w:ascii="Times New Roman" w:hAnsi="Times New Roman" w:eastAsia="宋体" w:cs="Times New Roman"/>
          <w:kern w:val="0"/>
          <w:szCs w:val="21"/>
        </w:rPr>
      </w:pPr>
      <w:r>
        <w:rPr>
          <w:rFonts w:hint="eastAsia" w:ascii="Times New Roman" w:hAnsi="Times New Roman" w:eastAsia="宋体" w:cs="Times New Roman"/>
          <w:kern w:val="0"/>
          <w:szCs w:val="21"/>
        </w:rPr>
        <w:t>注：专机配套耗材（试剂）报价将视情纳入计算经济分</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投标人售后服务承诺</w:t>
      </w:r>
    </w:p>
    <w:p>
      <w:pPr>
        <w:spacing w:line="440" w:lineRule="exact"/>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宋体"/>
          <w:sz w:val="28"/>
          <w:szCs w:val="28"/>
          <w:lang w:val="zh-CN"/>
        </w:rPr>
        <w:t>承诺内容</w:t>
      </w:r>
      <w:r>
        <w:rPr>
          <w:rFonts w:ascii="宋体" w:hAnsi="宋体" w:eastAsia="宋体" w:cs="Times New Roman"/>
          <w:sz w:val="28"/>
          <w:szCs w:val="28"/>
          <w:lang w:val="zh-CN"/>
        </w:rPr>
        <w:t>由</w:t>
      </w:r>
      <w:r>
        <w:rPr>
          <w:rFonts w:hint="eastAsia" w:cs="Times New Roman" w:asciiTheme="minorEastAsia" w:hAnsiTheme="minorEastAsia"/>
          <w:kern w:val="0"/>
          <w:sz w:val="28"/>
          <w:szCs w:val="28"/>
          <w:lang w:val="zh-CN"/>
        </w:rPr>
        <w:t>投标人对照商务评审表中售后服务评审项自行编制，</w:t>
      </w:r>
      <w:r>
        <w:rPr>
          <w:rFonts w:hint="eastAsia" w:ascii="宋体" w:hAnsi="宋体" w:eastAsia="宋体" w:cs="Times New Roman"/>
          <w:sz w:val="28"/>
          <w:szCs w:val="28"/>
          <w:lang w:val="zh-CN"/>
        </w:rPr>
        <w:t>应包括但不限于如下内容</w:t>
      </w:r>
      <w:r>
        <w:rPr>
          <w:rFonts w:hint="eastAsia" w:cs="Times New Roman" w:asciiTheme="minorEastAsia" w:hAnsiTheme="minorEastAsia"/>
          <w:kern w:val="0"/>
          <w:sz w:val="28"/>
          <w:szCs w:val="28"/>
          <w:lang w:val="zh-CN"/>
        </w:rPr>
        <w:t>。）</w:t>
      </w:r>
    </w:p>
    <w:p>
      <w:pPr>
        <w:numPr>
          <w:ilvl w:val="3"/>
          <w:numId w:val="2"/>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明确“交货时间”，“保修期”。</w:t>
      </w:r>
    </w:p>
    <w:p>
      <w:pPr>
        <w:numPr>
          <w:ilvl w:val="3"/>
          <w:numId w:val="2"/>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对</w:t>
      </w:r>
      <w:r>
        <w:rPr>
          <w:rFonts w:ascii="宋体" w:hAnsi="宋体" w:eastAsia="宋体" w:cs="Times New Roman"/>
          <w:sz w:val="28"/>
          <w:szCs w:val="28"/>
          <w:lang w:val="zh-CN"/>
        </w:rPr>
        <w:t>本《招标文件》“第二部分</w:t>
      </w:r>
      <w:r>
        <w:rPr>
          <w:rFonts w:hint="eastAsia" w:ascii="宋体" w:hAnsi="宋体" w:eastAsia="宋体" w:cs="Times New Roman"/>
          <w:sz w:val="28"/>
          <w:szCs w:val="28"/>
          <w:lang w:val="zh-CN"/>
        </w:rPr>
        <w:t xml:space="preserve">  采购项目技术和商务要求</w:t>
      </w:r>
      <w:r>
        <w:rPr>
          <w:rFonts w:ascii="宋体" w:hAnsi="宋体" w:eastAsia="宋体" w:cs="Times New Roman"/>
          <w:sz w:val="28"/>
          <w:szCs w:val="28"/>
          <w:lang w:val="zh-CN"/>
        </w:rPr>
        <w:t>/</w:t>
      </w:r>
      <w:r>
        <w:rPr>
          <w:rFonts w:hint="eastAsia" w:ascii="宋体" w:hAnsi="宋体" w:eastAsia="宋体" w:cs="Times New Roman"/>
          <w:sz w:val="28"/>
          <w:szCs w:val="28"/>
          <w:lang w:val="zh-CN"/>
        </w:rPr>
        <w:t xml:space="preserve"> 二、商务要求/（二）售后</w:t>
      </w:r>
      <w:r>
        <w:rPr>
          <w:rFonts w:ascii="宋体" w:hAnsi="宋体" w:eastAsia="宋体" w:cs="Times New Roman"/>
          <w:sz w:val="28"/>
          <w:szCs w:val="28"/>
          <w:lang w:val="zh-CN"/>
        </w:rPr>
        <w:t>服务”的内容进行完整</w:t>
      </w:r>
      <w:r>
        <w:rPr>
          <w:rFonts w:hint="eastAsia" w:ascii="宋体" w:hAnsi="宋体" w:eastAsia="宋体" w:cs="Times New Roman"/>
          <w:sz w:val="28"/>
          <w:szCs w:val="28"/>
          <w:lang w:val="zh-CN"/>
        </w:rPr>
        <w:t>的说明与</w:t>
      </w:r>
      <w:r>
        <w:rPr>
          <w:rFonts w:ascii="宋体" w:hAnsi="宋体" w:eastAsia="宋体" w:cs="Times New Roman"/>
          <w:sz w:val="28"/>
          <w:szCs w:val="28"/>
          <w:lang w:val="zh-CN"/>
        </w:rPr>
        <w:t>承诺。</w:t>
      </w:r>
    </w:p>
    <w:p>
      <w:pPr>
        <w:numPr>
          <w:ilvl w:val="3"/>
          <w:numId w:val="2"/>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对提供指定地点（</w:t>
      </w:r>
      <w:r>
        <w:rPr>
          <w:rFonts w:hint="eastAsia" w:asciiTheme="minorEastAsia" w:hAnsiTheme="minorEastAsia"/>
          <w:b/>
          <w:sz w:val="28"/>
          <w:szCs w:val="28"/>
        </w:rPr>
        <w:t>重庆市</w:t>
      </w:r>
      <w:r>
        <w:rPr>
          <w:rFonts w:hint="eastAsia" w:ascii="宋体" w:hAnsi="宋体" w:eastAsia="宋体" w:cs="Times New Roman"/>
          <w:sz w:val="28"/>
          <w:szCs w:val="28"/>
        </w:rPr>
        <w:t>）现场服务支持的售后服务体系、人员、装备，以及售后服务</w:t>
      </w:r>
      <w:r>
        <w:rPr>
          <w:rFonts w:hint="eastAsia" w:ascii="宋体" w:hAnsi="宋体" w:eastAsia="宋体" w:cs="Times New Roman"/>
          <w:b/>
          <w:sz w:val="28"/>
          <w:szCs w:val="28"/>
        </w:rPr>
        <w:t>到位维修响应时间</w:t>
      </w:r>
      <w:r>
        <w:rPr>
          <w:rFonts w:hint="eastAsia" w:ascii="宋体" w:hAnsi="宋体" w:eastAsia="宋体" w:cs="Times New Roman"/>
          <w:sz w:val="28"/>
          <w:szCs w:val="28"/>
        </w:rPr>
        <w:t>等的</w:t>
      </w:r>
      <w:r>
        <w:rPr>
          <w:rFonts w:hint="eastAsia" w:ascii="宋体" w:hAnsi="宋体" w:eastAsia="宋体" w:cs="Times New Roman"/>
          <w:sz w:val="28"/>
          <w:szCs w:val="28"/>
          <w:lang w:val="zh-CN"/>
        </w:rPr>
        <w:t>说明与</w:t>
      </w:r>
      <w:r>
        <w:rPr>
          <w:rFonts w:ascii="宋体" w:hAnsi="宋体" w:eastAsia="宋体" w:cs="Times New Roman"/>
          <w:sz w:val="28"/>
          <w:szCs w:val="28"/>
          <w:lang w:val="zh-CN"/>
        </w:rPr>
        <w:t>承诺</w:t>
      </w:r>
      <w:r>
        <w:rPr>
          <w:rFonts w:hint="eastAsia" w:ascii="宋体" w:hAnsi="宋体" w:eastAsia="宋体" w:cs="Times New Roman"/>
          <w:sz w:val="28"/>
          <w:szCs w:val="28"/>
          <w:lang w:val="zh-CN"/>
        </w:rPr>
        <w:t>。</w:t>
      </w:r>
    </w:p>
    <w:p>
      <w:pPr>
        <w:numPr>
          <w:ilvl w:val="3"/>
          <w:numId w:val="2"/>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w:t>
      </w:r>
      <w:r>
        <w:rPr>
          <w:rFonts w:ascii="宋体" w:hAnsi="宋体" w:eastAsia="宋体" w:cs="Times New Roman"/>
          <w:sz w:val="28"/>
          <w:szCs w:val="28"/>
        </w:rPr>
        <w:t>技术支持和服务网点</w:t>
      </w:r>
      <w:r>
        <w:rPr>
          <w:rFonts w:hint="eastAsia" w:ascii="宋体" w:hAnsi="宋体" w:eastAsia="宋体" w:cs="Times New Roman"/>
          <w:sz w:val="28"/>
          <w:szCs w:val="28"/>
        </w:rPr>
        <w:t>分布情况的说明（提供</w:t>
      </w:r>
      <w:r>
        <w:rPr>
          <w:rFonts w:ascii="宋体" w:hAnsi="宋体" w:eastAsia="宋体" w:cs="Times New Roman"/>
          <w:sz w:val="28"/>
          <w:szCs w:val="28"/>
        </w:rPr>
        <w:t>技术支持和服务网点</w:t>
      </w:r>
      <w:r>
        <w:rPr>
          <w:rFonts w:hint="eastAsia" w:ascii="宋体" w:hAnsi="宋体" w:eastAsia="宋体" w:cs="Times New Roman"/>
          <w:sz w:val="28"/>
          <w:szCs w:val="28"/>
        </w:rPr>
        <w:t>的地址、</w:t>
      </w:r>
      <w:r>
        <w:rPr>
          <w:rFonts w:ascii="宋体" w:hAnsi="宋体" w:eastAsia="宋体" w:cs="Times New Roman"/>
          <w:sz w:val="28"/>
          <w:szCs w:val="28"/>
        </w:rPr>
        <w:t>24小时服务支持热线</w:t>
      </w:r>
      <w:r>
        <w:rPr>
          <w:rFonts w:hint="eastAsia" w:ascii="宋体" w:hAnsi="宋体" w:eastAsia="宋体" w:cs="Times New Roman"/>
          <w:sz w:val="28"/>
          <w:szCs w:val="28"/>
        </w:rPr>
        <w:t>，以及营业执照、委托服务协议等证明材料）。</w:t>
      </w:r>
    </w:p>
    <w:p>
      <w:pPr>
        <w:numPr>
          <w:ilvl w:val="3"/>
          <w:numId w:val="2"/>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对投标货物在质量保修期内和质量保修期外的相关服务内容做出的</w:t>
      </w:r>
      <w:r>
        <w:rPr>
          <w:rFonts w:hint="eastAsia" w:ascii="宋体" w:hAnsi="宋体" w:eastAsia="宋体" w:cs="Times New Roman"/>
          <w:sz w:val="28"/>
          <w:szCs w:val="28"/>
          <w:lang w:val="zh-CN"/>
        </w:rPr>
        <w:t>说明与承诺</w:t>
      </w:r>
      <w:r>
        <w:rPr>
          <w:rFonts w:hint="eastAsia" w:ascii="宋体" w:hAnsi="宋体" w:eastAsia="宋体" w:cs="Times New Roman"/>
          <w:sz w:val="28"/>
          <w:szCs w:val="28"/>
        </w:rPr>
        <w:t>。</w:t>
      </w:r>
    </w:p>
    <w:p>
      <w:pPr>
        <w:numPr>
          <w:ilvl w:val="3"/>
          <w:numId w:val="2"/>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保修期外维修费用</w:t>
      </w:r>
      <w:r>
        <w:rPr>
          <w:rFonts w:hint="eastAsia" w:ascii="宋体" w:hAnsi="宋体" w:eastAsia="宋体" w:cs="Times New Roman"/>
          <w:b/>
          <w:sz w:val="28"/>
          <w:szCs w:val="28"/>
        </w:rPr>
        <w:t>说明</w:t>
      </w:r>
      <w:r>
        <w:rPr>
          <w:rFonts w:hint="eastAsia" w:ascii="宋体" w:hAnsi="宋体" w:eastAsia="宋体" w:cs="Times New Roman"/>
          <w:sz w:val="28"/>
          <w:szCs w:val="28"/>
        </w:rPr>
        <w:t>。</w:t>
      </w:r>
    </w:p>
    <w:p>
      <w:pPr>
        <w:numPr>
          <w:ilvl w:val="3"/>
          <w:numId w:val="2"/>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提供零配件全国统一报价</w:t>
      </w:r>
      <w:r>
        <w:rPr>
          <w:rFonts w:hint="eastAsia" w:ascii="宋体" w:hAnsi="宋体" w:eastAsia="宋体" w:cs="Times New Roman"/>
          <w:b/>
          <w:sz w:val="28"/>
          <w:szCs w:val="28"/>
        </w:rPr>
        <w:t>情况，并作</w:t>
      </w:r>
      <w:r>
        <w:rPr>
          <w:rFonts w:ascii="宋体" w:hAnsi="宋体" w:eastAsia="宋体" w:cs="Times New Roman"/>
          <w:b/>
          <w:sz w:val="28"/>
          <w:szCs w:val="28"/>
        </w:rPr>
        <w:t>军队用户更换配件价格统一报价</w:t>
      </w:r>
      <w:r>
        <w:rPr>
          <w:rFonts w:hint="eastAsia" w:ascii="宋体" w:hAnsi="宋体" w:eastAsia="宋体" w:cs="Times New Roman"/>
          <w:b/>
          <w:sz w:val="28"/>
          <w:szCs w:val="28"/>
        </w:rPr>
        <w:t>、</w:t>
      </w:r>
      <w:r>
        <w:rPr>
          <w:rFonts w:ascii="宋体" w:hAnsi="宋体" w:eastAsia="宋体" w:cs="Times New Roman"/>
          <w:b/>
          <w:sz w:val="28"/>
          <w:szCs w:val="28"/>
        </w:rPr>
        <w:t>零配件保证供应时间的</w:t>
      </w:r>
      <w:r>
        <w:rPr>
          <w:rFonts w:hint="eastAsia" w:ascii="宋体" w:hAnsi="宋体" w:eastAsia="宋体" w:cs="Times New Roman"/>
          <w:b/>
          <w:sz w:val="28"/>
          <w:szCs w:val="28"/>
        </w:rPr>
        <w:t>承诺说明</w:t>
      </w:r>
      <w:r>
        <w:rPr>
          <w:rFonts w:hint="eastAsia" w:ascii="宋体" w:hAnsi="宋体" w:eastAsia="宋体" w:cs="Times New Roman"/>
          <w:sz w:val="28"/>
          <w:szCs w:val="28"/>
        </w:rPr>
        <w:t>。</w:t>
      </w:r>
    </w:p>
    <w:p>
      <w:pPr>
        <w:numPr>
          <w:ilvl w:val="3"/>
          <w:numId w:val="2"/>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对投标货物的备品备件和易损易耗件供应保障情况进行说明（如果某设备无备品备件和易损易耗件，也需明确“</w:t>
      </w:r>
      <w:r>
        <w:rPr>
          <w:rFonts w:ascii="宋体" w:hAnsi="宋体" w:eastAsia="宋体" w:cs="Times New Roman"/>
          <w:b/>
          <w:sz w:val="28"/>
          <w:szCs w:val="28"/>
        </w:rPr>
        <w:t>×</w:t>
      </w:r>
      <w:r>
        <w:rPr>
          <w:rFonts w:hint="eastAsia" w:ascii="宋体" w:hAnsi="宋体" w:eastAsia="宋体" w:cs="Times New Roman"/>
          <w:sz w:val="28"/>
          <w:szCs w:val="28"/>
        </w:rPr>
        <w:t>设备无备品备件和易损易耗件”）。</w:t>
      </w:r>
    </w:p>
    <w:p>
      <w:pPr>
        <w:spacing w:line="440" w:lineRule="exact"/>
        <w:rPr>
          <w:rFonts w:cs="Times New Roman" w:asciiTheme="minorEastAsia" w:hAnsiTheme="minorEastAsia"/>
          <w:kern w:val="0"/>
          <w:sz w:val="28"/>
          <w:szCs w:val="28"/>
          <w:lang w:val="zh-CN"/>
        </w:rPr>
      </w:pPr>
      <w:r>
        <w:rPr>
          <w:rFonts w:ascii="宋体" w:hAnsi="宋体" w:eastAsia="宋体" w:cs="Times New Roman"/>
          <w:sz w:val="28"/>
          <w:szCs w:val="28"/>
        </w:rPr>
        <w:t>其他服务承诺</w:t>
      </w:r>
      <w:r>
        <w:rPr>
          <w:rFonts w:hint="eastAsia" w:ascii="宋体" w:hAnsi="宋体" w:eastAsia="宋体" w:cs="Times New Roman"/>
          <w:sz w:val="28"/>
          <w:szCs w:val="28"/>
        </w:rPr>
        <w:t>（</w:t>
      </w:r>
      <w:r>
        <w:rPr>
          <w:rFonts w:hint="eastAsia" w:ascii="宋体" w:hAnsi="宋体" w:eastAsia="宋体" w:cs="Times New Roman"/>
          <w:b/>
          <w:sz w:val="28"/>
          <w:szCs w:val="28"/>
        </w:rPr>
        <w:t>逐一核对评分标准内涉及的售后服务进行响应和承诺）</w:t>
      </w:r>
      <w:r>
        <w:rPr>
          <w:rFonts w:ascii="宋体" w:hAnsi="宋体" w:eastAsia="宋体" w:cs="Times New Roman"/>
          <w:sz w:val="28"/>
          <w:szCs w:val="28"/>
        </w:rPr>
        <w:t>。</w:t>
      </w:r>
    </w:p>
    <w:p>
      <w:pPr>
        <w:spacing w:line="440" w:lineRule="exact"/>
        <w:ind w:firstLine="1626" w:firstLineChars="600"/>
        <w:rPr>
          <w:rFonts w:cs="宋体" w:asciiTheme="minorEastAsia" w:hAnsiTheme="minorEastAsia"/>
          <w:kern w:val="0"/>
          <w:sz w:val="28"/>
          <w:szCs w:val="28"/>
          <w:lang w:val="zh-CN"/>
        </w:rPr>
      </w:pPr>
    </w:p>
    <w:p>
      <w:pPr>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2</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生产厂家售后服务承诺</w:t>
      </w:r>
    </w:p>
    <w:p>
      <w:pPr>
        <w:ind w:firstLine="542" w:firstLineChars="200"/>
        <w:rPr>
          <w:rFonts w:ascii="Times New Roman" w:hAnsi="Times New Roman" w:eastAsia="宋体" w:cs="Times New Roman"/>
          <w:snapToGrid w:val="0"/>
          <w:kern w:val="0"/>
          <w:sz w:val="28"/>
          <w:szCs w:val="28"/>
          <w:lang w:val="zh-CN"/>
        </w:rPr>
      </w:pPr>
    </w:p>
    <w:p>
      <w:pPr>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Times New Roman"/>
          <w:kern w:val="0"/>
          <w:sz w:val="28"/>
          <w:szCs w:val="28"/>
          <w:lang w:val="zh-CN"/>
        </w:rPr>
        <w:t>生产厂商对产品售后服务做出的承诺，对照技术和参数要求的条款、商务评审表中售后服务评审项自行编制。至少包括售后服务年限、响应时间、技术培训、</w:t>
      </w:r>
      <w:r>
        <w:rPr>
          <w:rFonts w:hint="eastAsia" w:ascii="宋体" w:hAnsi="宋体" w:eastAsia="宋体" w:cs="Times New Roman"/>
          <w:kern w:val="0"/>
          <w:sz w:val="28"/>
          <w:szCs w:val="28"/>
        </w:rPr>
        <w:t>零配件全国统一报价</w:t>
      </w:r>
      <w:r>
        <w:rPr>
          <w:rFonts w:hint="eastAsia" w:ascii="宋体" w:hAnsi="宋体" w:eastAsia="宋体" w:cs="Times New Roman"/>
          <w:kern w:val="0"/>
          <w:sz w:val="28"/>
          <w:szCs w:val="28"/>
          <w:lang w:val="zh-CN"/>
        </w:rPr>
        <w:t>等内容</w:t>
      </w:r>
      <w:r>
        <w:rPr>
          <w:rFonts w:hint="eastAsia" w:cs="Times New Roman" w:asciiTheme="minorEastAsia" w:hAnsiTheme="minorEastAsia"/>
          <w:kern w:val="0"/>
          <w:sz w:val="28"/>
          <w:szCs w:val="28"/>
          <w:lang w:val="zh-CN"/>
        </w:rPr>
        <w:t>）</w:t>
      </w: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32"/>
          <w:szCs w:val="32"/>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3</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近3年中标成交案例及同类项目案例</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840"/>
        <w:gridCol w:w="977"/>
        <w:gridCol w:w="1819"/>
        <w:gridCol w:w="1256"/>
        <w:gridCol w:w="1055"/>
        <w:gridCol w:w="1452"/>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8"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序号</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项目内容</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（包括同类项目，产品名称、型号等）</w:t>
            </w: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合同有效金额（万元）</w:t>
            </w: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签订</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日期</w:t>
            </w: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用户联系</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人及电话</w:t>
            </w: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r>
              <w:rPr>
                <w:rFonts w:hint="eastAsia" w:cs="Times New Roman" w:asciiTheme="minorEastAsia" w:hAnsiTheme="minorEastAsia"/>
                <w:sz w:val="28"/>
                <w:szCs w:val="28"/>
              </w:rPr>
              <w:t>合计</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bl>
    <w:p>
      <w:pPr>
        <w:ind w:left="924" w:hanging="924" w:hangingChars="400"/>
        <w:rPr>
          <w:rFonts w:ascii="宋体" w:hAnsi="宋体" w:eastAsia="宋体" w:cs="Times New Roman"/>
          <w:bCs/>
          <w:kern w:val="0"/>
          <w:sz w:val="24"/>
          <w:szCs w:val="24"/>
        </w:rPr>
      </w:pPr>
      <w:r>
        <w:rPr>
          <w:rFonts w:hint="eastAsia" w:ascii="宋体" w:hAnsi="宋体" w:eastAsia="宋体" w:cs="Times New Roman"/>
          <w:bCs/>
          <w:kern w:val="0"/>
          <w:sz w:val="24"/>
          <w:szCs w:val="24"/>
        </w:rPr>
        <w:t>备注：1.同类项目指本次招标的产品或同类产品。合同有效金额是指合同中本次招标的产品或同类产品金额。</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2.投标人应附销售合同复印件，按合同有效金额由高到低顺序装订，包括：合同首尾页、签字盖章页、合同金额页、产品信息页。</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3.投标人提供虚假合同的，按虚假投标处理。</w:t>
      </w:r>
    </w:p>
    <w:p>
      <w:pPr>
        <w:ind w:left="918" w:leftChars="342" w:hanging="231" w:hangingChars="100"/>
        <w:rPr>
          <w:rFonts w:ascii="宋体" w:hAnsi="宋体" w:eastAsia="宋体" w:cs="Times New Roman"/>
          <w:b/>
          <w:bCs/>
          <w:kern w:val="0"/>
          <w:sz w:val="24"/>
          <w:szCs w:val="24"/>
        </w:rPr>
      </w:pPr>
      <w:r>
        <w:rPr>
          <w:rFonts w:hint="eastAsia" w:ascii="宋体" w:hAnsi="宋体" w:eastAsia="宋体" w:cs="Times New Roman"/>
          <w:b/>
          <w:bCs/>
          <w:kern w:val="0"/>
          <w:sz w:val="24"/>
          <w:szCs w:val="24"/>
        </w:rPr>
        <w:t>4.需提供三甲医院或高等科研院所销售合同，其他视为无效合同。</w:t>
      </w:r>
    </w:p>
    <w:p>
      <w:pPr>
        <w:rPr>
          <w:rFonts w:ascii="Times New Roman" w:hAnsi="Times New Roman" w:eastAsia="宋体" w:cs="Times New Roman"/>
          <w:kern w:val="0"/>
          <w:sz w:val="28"/>
          <w:szCs w:val="28"/>
          <w:lang w:val="zh-CN"/>
        </w:rPr>
      </w:pPr>
    </w:p>
    <w:p>
      <w:pPr>
        <w:ind w:firstLine="1626" w:firstLineChars="6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投标人全称：（盖章）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rPr>
          <w:rFonts w:ascii="Times New Roman" w:hAnsi="Times New Roman" w:eastAsia="宋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附件14</w:t>
      </w:r>
    </w:p>
    <w:p>
      <w:pPr>
        <w:jc w:val="center"/>
        <w:rPr>
          <w:rFonts w:ascii="黑体" w:hAnsi="黑体" w:eastAsia="黑体" w:cs="Times New Roman"/>
          <w:kern w:val="0"/>
          <w:sz w:val="32"/>
          <w:szCs w:val="32"/>
        </w:rPr>
      </w:pPr>
      <w:r>
        <w:rPr>
          <w:rFonts w:hint="eastAsia" w:ascii="黑体" w:hAnsi="黑体" w:eastAsia="黑体" w:cs="Times New Roman"/>
          <w:kern w:val="0"/>
          <w:sz w:val="32"/>
          <w:szCs w:val="32"/>
        </w:rPr>
        <w:t>技术评审表</w:t>
      </w:r>
    </w:p>
    <w:tbl>
      <w:tblPr>
        <w:tblStyle w:val="17"/>
        <w:tblW w:w="0" w:type="auto"/>
        <w:jc w:val="center"/>
        <w:tblLayout w:type="fixed"/>
        <w:tblCellMar>
          <w:top w:w="0" w:type="dxa"/>
          <w:left w:w="108" w:type="dxa"/>
          <w:bottom w:w="0" w:type="dxa"/>
          <w:right w:w="108" w:type="dxa"/>
        </w:tblCellMar>
      </w:tblPr>
      <w:tblGrid>
        <w:gridCol w:w="1172"/>
        <w:gridCol w:w="3648"/>
        <w:gridCol w:w="2268"/>
        <w:gridCol w:w="1755"/>
      </w:tblGrid>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268"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1755"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技术力量</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技术专利证书1</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hint="eastAsia" w:asciiTheme="majorEastAsia" w:hAnsiTheme="majorEastAsia" w:eastAsiaTheme="majorEastAsia"/>
                <w:szCs w:val="21"/>
              </w:rPr>
              <w:t>技术专利证书2</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asciiTheme="majorEastAsia" w:hAnsiTheme="majorEastAsia" w:eastAsiaTheme="majorEastAsia"/>
                <w:szCs w:val="21"/>
              </w:rPr>
              <w:t>…</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CE认证</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3   </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FDA认证</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产品投放市场时间</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入围最近年度“中国医疗设备行业数据及售后服务调查”三甲医院推荐品牌及排名情况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入围最近年度“中国医学装备协会发布优秀国产医疗设备产品目录”情况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asciiTheme="minorEastAsia" w:hAnsiTheme="minorEastAsia"/>
                <w:b/>
                <w:szCs w:val="21"/>
              </w:rPr>
              <w:t>产品技术性能指标参数满足偏离情况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详见技术指标参数响应偏离表</w:t>
            </w: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售后服务</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inorEastAsia" w:hAnsiTheme="minorEastAsia"/>
                <w:szCs w:val="21"/>
              </w:rPr>
              <w:t>免费保修期</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零配件报价</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3</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零配件保证供应时间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到位维修响应时间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保修期外维修费用</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技术支持和服务网点</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注：以上项目由投标人自行填写，对于未提供项填写“无”。</w:t>
      </w:r>
    </w:p>
    <w:p>
      <w:pPr>
        <w:ind w:firstLine="2423" w:firstLineChars="894"/>
        <w:rPr>
          <w:rFonts w:cs="宋体" w:asciiTheme="minorEastAsia" w:hAnsiTheme="minorEastAsia"/>
          <w:kern w:val="0"/>
          <w:sz w:val="28"/>
          <w:szCs w:val="28"/>
          <w:lang w:val="zh-CN"/>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附件15</w:t>
      </w:r>
    </w:p>
    <w:p>
      <w:pPr>
        <w:jc w:val="center"/>
        <w:rPr>
          <w:rFonts w:ascii="方正小标宋简体" w:hAnsi="Times New Roman" w:eastAsia="方正小标宋简体" w:cs="Times New Roman"/>
          <w:kern w:val="0"/>
          <w:sz w:val="44"/>
          <w:szCs w:val="44"/>
        </w:rPr>
      </w:pPr>
      <w:r>
        <w:rPr>
          <w:rFonts w:hint="eastAsia" w:ascii="黑体" w:hAnsi="黑体" w:eastAsia="黑体" w:cs="Times New Roman"/>
          <w:kern w:val="0"/>
          <w:sz w:val="32"/>
          <w:szCs w:val="32"/>
        </w:rPr>
        <w:t>商务评审表</w:t>
      </w:r>
    </w:p>
    <w:tbl>
      <w:tblPr>
        <w:tblStyle w:val="17"/>
        <w:tblW w:w="0" w:type="auto"/>
        <w:jc w:val="center"/>
        <w:tblLayout w:type="fixed"/>
        <w:tblCellMar>
          <w:top w:w="0" w:type="dxa"/>
          <w:left w:w="108" w:type="dxa"/>
          <w:bottom w:w="0" w:type="dxa"/>
          <w:right w:w="108" w:type="dxa"/>
        </w:tblCellMar>
      </w:tblPr>
      <w:tblGrid>
        <w:gridCol w:w="1172"/>
        <w:gridCol w:w="2939"/>
        <w:gridCol w:w="2552"/>
        <w:gridCol w:w="2180"/>
      </w:tblGrid>
      <w:tr>
        <w:tblPrEx>
          <w:tblCellMar>
            <w:top w:w="0" w:type="dxa"/>
            <w:left w:w="108" w:type="dxa"/>
            <w:bottom w:w="0" w:type="dxa"/>
            <w:right w:w="108" w:type="dxa"/>
          </w:tblCellMar>
        </w:tblPrEx>
        <w:trPr>
          <w:trHeight w:val="224"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552"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2180"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投标产品销售业绩</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合同1金额</w:t>
            </w:r>
          </w:p>
        </w:tc>
        <w:tc>
          <w:tcPr>
            <w:tcW w:w="2552"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合同2金额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   </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企业规模</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平均资产总额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缴纳社保金额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信誉</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企业纳税信用A级评价证书</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711"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银行颁发的资信（信用）</w:t>
            </w:r>
          </w:p>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等级证明</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四</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财务状况（</w:t>
            </w:r>
            <w:r>
              <w:rPr>
                <w:rFonts w:hint="eastAsia" w:asciiTheme="majorEastAsia" w:hAnsiTheme="majorEastAsia" w:eastAsiaTheme="majorEastAsia"/>
                <w:sz w:val="24"/>
                <w:szCs w:val="24"/>
              </w:rPr>
              <w:t>平均净利润</w:t>
            </w:r>
            <w:r>
              <w:rPr>
                <w:rFonts w:hint="eastAsia" w:cs="宋体" w:asciiTheme="majorEastAsia" w:hAnsiTheme="majorEastAsia" w:eastAsiaTheme="majorEastAsia"/>
                <w:b/>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五</w:t>
            </w:r>
          </w:p>
        </w:tc>
        <w:tc>
          <w:tcPr>
            <w:tcW w:w="29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投标方性质</w:t>
            </w:r>
          </w:p>
        </w:tc>
        <w:tc>
          <w:tcPr>
            <w:tcW w:w="25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jc w:val="left"/>
        <w:rPr>
          <w:rFonts w:cs="Times New Roman" w:asciiTheme="minorEastAsia" w:hAnsiTheme="minorEastAsia"/>
          <w:kern w:val="0"/>
          <w:szCs w:val="21"/>
        </w:rPr>
      </w:pPr>
    </w:p>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注：以上项目由投标人自行填写，对于未提供项填写“无”。</w:t>
      </w: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adjustRightInd w:val="0"/>
        <w:snapToGrid w:val="0"/>
        <w:jc w:val="left"/>
        <w:rPr>
          <w:rFonts w:cs="Times New Roman" w:asciiTheme="minorEastAsia" w:hAnsiTheme="minorEastAsia"/>
          <w:kern w:val="0"/>
          <w:szCs w:val="21"/>
        </w:rPr>
      </w:pPr>
      <w:r>
        <w:rPr>
          <w:rFonts w:cs="Times New Roman" w:asciiTheme="minorEastAsia" w:hAnsiTheme="minorEastAsia"/>
          <w:kern w:val="0"/>
          <w:szCs w:val="21"/>
        </w:rPr>
        <w:br w:type="page"/>
      </w:r>
    </w:p>
    <w:p>
      <w:pPr>
        <w:rPr>
          <w:rFonts w:ascii="仿宋_GB2312" w:hAnsi="Times New Roman" w:eastAsia="仿宋_GB2312" w:cs="Times New Roman"/>
          <w:kern w:val="0"/>
          <w:sz w:val="32"/>
          <w:szCs w:val="32"/>
        </w:rPr>
      </w:pPr>
      <w:r>
        <w:rPr>
          <w:rFonts w:hint="eastAsia" w:ascii="黑体" w:hAnsi="黑体" w:eastAsia="黑体" w:cs="Times New Roman"/>
          <w:kern w:val="0"/>
          <w:sz w:val="32"/>
          <w:szCs w:val="32"/>
        </w:rPr>
        <w:t xml:space="preserve">附件16                               </w:t>
      </w:r>
      <w:r>
        <w:rPr>
          <w:rFonts w:ascii="仿宋_GB2312" w:hAnsi="Times New Roman" w:eastAsia="仿宋_GB2312" w:cs="Times New Roman"/>
          <w:kern w:val="0"/>
          <w:sz w:val="32"/>
          <w:szCs w:val="32"/>
        </w:rPr>
        <w:t xml:space="preserve">    </w:t>
      </w:r>
    </w:p>
    <w:p>
      <w:pPr>
        <w:jc w:val="center"/>
        <w:rPr>
          <w:rFonts w:ascii="Times New Roman" w:hAnsi="Times New Roman" w:eastAsia="方正小标宋简体" w:cs="Times New Roman"/>
          <w:bCs/>
          <w:sz w:val="32"/>
          <w:szCs w:val="32"/>
        </w:rPr>
      </w:pPr>
      <w:r>
        <w:rPr>
          <w:rFonts w:ascii="Times New Roman" w:hAnsi="Times New Roman" w:eastAsia="方正小标宋简体" w:cs="Times New Roman"/>
          <w:bCs/>
          <w:sz w:val="32"/>
          <w:szCs w:val="32"/>
        </w:rPr>
        <w:t>法定代表人资格证明书</w:t>
      </w:r>
    </w:p>
    <w:p>
      <w:pPr>
        <w:ind w:firstLine="542" w:firstLineChars="200"/>
        <w:rPr>
          <w:rFonts w:ascii="Times New Roman" w:hAnsi="Times New Roman" w:eastAsia="楷体_GB2312" w:cs="Times New Roman"/>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u w:val="single"/>
        </w:rPr>
        <w:t>（法定代表人姓名）</w:t>
      </w:r>
      <w:r>
        <w:rPr>
          <w:rFonts w:hint="eastAsia" w:cs="Times New Roman" w:asciiTheme="minorEastAsia" w:hAnsiTheme="minorEastAsia"/>
          <w:sz w:val="28"/>
          <w:szCs w:val="28"/>
        </w:rPr>
        <w:t>系</w:t>
      </w:r>
      <w:r>
        <w:rPr>
          <w:rFonts w:hint="eastAsia" w:cs="Times New Roman" w:asciiTheme="minorEastAsia" w:hAnsiTheme="minorEastAsia"/>
          <w:sz w:val="28"/>
          <w:szCs w:val="28"/>
          <w:u w:val="single"/>
        </w:rPr>
        <w:t>（投标人全称）</w:t>
      </w:r>
      <w:r>
        <w:rPr>
          <w:rFonts w:hint="eastAsia" w:cs="Times New Roman" w:asciiTheme="minorEastAsia" w:hAnsiTheme="minorEastAsia"/>
          <w:sz w:val="28"/>
          <w:szCs w:val="28"/>
        </w:rPr>
        <w:t>的法定代表人。</w:t>
      </w:r>
    </w:p>
    <w:p>
      <w:pPr>
        <w:ind w:firstLine="542" w:firstLineChars="200"/>
        <w:rPr>
          <w:rFonts w:cs="Times New Roman" w:asciiTheme="minorEastAsia" w:hAnsiTheme="minorEastAsia"/>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rPr>
        <w:t>特此证明</w:t>
      </w:r>
    </w:p>
    <w:p>
      <w:pPr>
        <w:rPr>
          <w:rFonts w:cs="Times New Roman" w:asciiTheme="minorEastAsia" w:hAnsiTheme="minorEastAsia"/>
          <w:sz w:val="28"/>
          <w:szCs w:val="28"/>
        </w:rPr>
      </w:pPr>
      <w:r>
        <w:rPr>
          <w:rFonts w:cs="Times New Roman" w:asciiTheme="minorEastAsia" w:hAnsiTheme="minorEastAsia"/>
          <w:sz w:val="28"/>
          <w:szCs w:val="28"/>
        </w:rPr>
        <w:pict>
          <v:shape id="_x0000_s1026" o:spid="_x0000_s1026" o:spt="202" type="#_x0000_t202" style="position:absolute;left:0pt;margin-left:226.9pt;margin-top:10.35pt;height:103.9pt;width:209.1pt;z-index:251672576;v-text-anchor:middle;mso-width-relative:page;mso-height-relative:page;" coordsize="21600,21600"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HNamg1wAAAAoBAAAPAAAAAAAAAAEAIAAAACIAAABkcnMvZG93&#10;bnJldi54bWxQSwECFAAUAAAACACHTuJAcq2tyToCAABiBAAADgAAAAAAAAABACAAAAAmAQAAZHJz&#10;L2Uyb0RvYy54bWxQSwUGAAAAAAYABgBZAQAA0gU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w:r>
      <w:r>
        <w:rPr>
          <w:rFonts w:cs="Times New Roman" w:asciiTheme="minorEastAsia" w:hAnsiTheme="minorEastAsia"/>
          <w:sz w:val="28"/>
          <w:szCs w:val="28"/>
        </w:rPr>
        <w:pict>
          <v:shape id="_x0000_s1029" o:spid="_x0000_s1029" o:spt="202" type="#_x0000_t202" style="position:absolute;left:0pt;margin-left:2.1pt;margin-top:10.35pt;height:103.9pt;width:206.6pt;z-index:251671552;v-text-anchor:middle;mso-width-relative:page;mso-height-relative:page;" coordsize="21600,21600"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PgRBMNUAAAAIAQAADwAAAAAAAAABACAAAAAiAAAAZHJzL2Rvd25y&#10;ZXYueG1sUEsBAhQAFAAAAAgAh07iQPDkAvA6AgAAYgQAAA4AAAAAAAAAAQAgAAAAJAEAAGRycy9l&#10;Mm9Eb2MueG1sUEsFBgAAAAAGAAYAWQEAANAFA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w: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ind w:firstLine="4743" w:firstLineChars="1750"/>
        <w:rPr>
          <w:rFonts w:cs="Times New Roman" w:asciiTheme="minorEastAsia" w:hAnsiTheme="minorEastAsia"/>
          <w:sz w:val="28"/>
          <w:szCs w:val="28"/>
        </w:rPr>
      </w:pPr>
    </w:p>
    <w:p>
      <w:pPr>
        <w:rPr>
          <w:rFonts w:cs="Times New Roman" w:asciiTheme="minorEastAsia" w:hAnsiTheme="minorEastAsia"/>
          <w:kern w:val="0"/>
          <w:sz w:val="28"/>
          <w:szCs w:val="28"/>
        </w:rPr>
      </w:pPr>
    </w:p>
    <w:p>
      <w:pPr>
        <w:ind w:firstLine="4743" w:firstLineChars="175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投标人全称：（盖章）</w:t>
      </w:r>
    </w:p>
    <w:p>
      <w:pPr>
        <w:ind w:firstLine="3851" w:firstLineChars="1421"/>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ascii="Times New Roman" w:hAnsi="Times New Roman" w:eastAsia="黑体" w:cs="Times New Roman"/>
          <w:kern w:val="0"/>
          <w:sz w:val="24"/>
          <w:szCs w:val="24"/>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7</w:t>
      </w:r>
    </w:p>
    <w:p>
      <w:pPr>
        <w:jc w:val="center"/>
        <w:rPr>
          <w:rFonts w:ascii="Times New Roman" w:hAnsi="Times New Roman" w:eastAsia="方正小标宋简体" w:cs="Times New Roman"/>
          <w:bCs/>
          <w:sz w:val="32"/>
          <w:szCs w:val="32"/>
        </w:rPr>
      </w:pPr>
      <w:r>
        <w:rPr>
          <w:rFonts w:hint="eastAsia" w:ascii="Times New Roman" w:hAnsi="Times New Roman" w:eastAsia="方正小标宋简体" w:cs="Times New Roman"/>
          <w:bCs/>
          <w:sz w:val="32"/>
          <w:szCs w:val="32"/>
        </w:rPr>
        <w:t>法定代表人授权书</w:t>
      </w:r>
    </w:p>
    <w:p>
      <w:pPr>
        <w:rPr>
          <w:rFonts w:ascii="Times New Roman" w:hAnsi="Times New Roman" w:eastAsia="宋体" w:cs="Times New Roman"/>
          <w:kern w:val="0"/>
          <w:sz w:val="28"/>
          <w:szCs w:val="28"/>
        </w:rPr>
      </w:pP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u w:val="single"/>
        </w:rPr>
        <w:t>（投标人全称）</w:t>
      </w:r>
      <w:r>
        <w:rPr>
          <w:rFonts w:hint="eastAsia" w:cs="Times New Roman" w:asciiTheme="minorEastAsia" w:hAnsiTheme="minorEastAsia"/>
          <w:kern w:val="0"/>
          <w:sz w:val="28"/>
          <w:szCs w:val="28"/>
        </w:rPr>
        <w:t>法定代表人</w:t>
      </w:r>
      <w:r>
        <w:rPr>
          <w:rFonts w:hint="eastAsia" w:cs="Times New Roman" w:asciiTheme="minorEastAsia" w:hAnsiTheme="minorEastAsia"/>
          <w:kern w:val="0"/>
          <w:sz w:val="28"/>
          <w:szCs w:val="28"/>
          <w:u w:val="single"/>
        </w:rPr>
        <w:t>（姓名、职务）</w:t>
      </w:r>
      <w:r>
        <w:rPr>
          <w:rFonts w:hint="eastAsia" w:cs="Times New Roman" w:asciiTheme="minorEastAsia" w:hAnsiTheme="minorEastAsia"/>
          <w:kern w:val="0"/>
          <w:sz w:val="28"/>
          <w:szCs w:val="28"/>
        </w:rPr>
        <w:t xml:space="preserve"> 授权</w:t>
      </w:r>
      <w:r>
        <w:rPr>
          <w:rFonts w:hint="eastAsia" w:cs="Times New Roman" w:asciiTheme="minorEastAsia" w:hAnsiTheme="minorEastAsia"/>
          <w:kern w:val="0"/>
          <w:sz w:val="28"/>
          <w:szCs w:val="28"/>
          <w:u w:val="single"/>
        </w:rPr>
        <w:t>（授权代表姓名、职务）</w:t>
      </w:r>
      <w:r>
        <w:rPr>
          <w:rFonts w:hint="eastAsia" w:cs="Times New Roman" w:asciiTheme="minorEastAsia" w:hAnsiTheme="minorEastAsia"/>
          <w:kern w:val="0"/>
          <w:sz w:val="28"/>
          <w:szCs w:val="28"/>
        </w:rPr>
        <w:t>为全权代表，参加贵单位组织的项目编号为</w:t>
      </w:r>
      <w:r>
        <w:rPr>
          <w:rFonts w:hint="eastAsia" w:cs="Times New Roman" w:asciiTheme="minorEastAsia" w:hAnsiTheme="minorEastAsia"/>
          <w:kern w:val="0"/>
          <w:sz w:val="28"/>
          <w:szCs w:val="28"/>
          <w:u w:val="single"/>
        </w:rPr>
        <w:t>（项目编号）</w:t>
      </w:r>
      <w:r>
        <w:rPr>
          <w:rFonts w:hint="eastAsia" w:cs="Times New Roman" w:asciiTheme="minorEastAsia" w:hAnsiTheme="minorEastAsia"/>
          <w:kern w:val="0"/>
          <w:sz w:val="28"/>
          <w:szCs w:val="28"/>
        </w:rPr>
        <w:t>的</w:t>
      </w:r>
      <w:r>
        <w:rPr>
          <w:rFonts w:hint="eastAsia" w:cs="Times New Roman" w:asciiTheme="minorEastAsia" w:hAnsiTheme="minorEastAsia"/>
          <w:kern w:val="0"/>
          <w:sz w:val="28"/>
          <w:szCs w:val="28"/>
          <w:u w:val="single"/>
        </w:rPr>
        <w:t>（项目名称）</w:t>
      </w:r>
      <w:r>
        <w:rPr>
          <w:rFonts w:hint="eastAsia" w:cs="Times New Roman" w:asciiTheme="minorEastAsia" w:hAnsiTheme="minorEastAsia"/>
          <w:kern w:val="0"/>
          <w:sz w:val="28"/>
          <w:szCs w:val="28"/>
        </w:rPr>
        <w:t>采购活动，全权处理采购活动中的一切事宜。</w:t>
      </w:r>
    </w:p>
    <w:p>
      <w:pPr>
        <w:ind w:firstLine="60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投标人全称：（盖章）</w:t>
      </w: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法定代表人：（签字或盖章）</w:t>
      </w:r>
    </w:p>
    <w:p>
      <w:pPr>
        <w:ind w:firstLine="4648" w:firstLineChars="1715"/>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附：</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授权代表姓名：              </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职    务：              电    话：</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传    真：              邮    编：</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通讯地址：</w:t>
      </w:r>
    </w:p>
    <w:p>
      <w:pPr>
        <w:ind w:firstLine="573"/>
        <w:rPr>
          <w:rFonts w:cs="Times New Roman" w:asciiTheme="minorEastAsia" w:hAnsiTheme="minorEastAsia"/>
          <w:kern w:val="0"/>
          <w:sz w:val="28"/>
          <w:szCs w:val="28"/>
        </w:rPr>
      </w:pPr>
      <w:r>
        <w:rPr>
          <w:rFonts w:cs="Times New Roman" w:asciiTheme="minorEastAsia" w:hAnsiTheme="minorEastAsia"/>
          <w:sz w:val="28"/>
          <w:szCs w:val="28"/>
        </w:rPr>
        <w:pict>
          <v:shape id="_x0000_s1028" o:spid="_x0000_s1028" o:spt="202" type="#_x0000_t202" style="position:absolute;left:0pt;margin-left:228.25pt;margin-top:14.25pt;height:105.95pt;width:210.95pt;z-index:251675648;v-text-anchor:middle;mso-width-relative:page;mso-height-relative:page;" coordsize="21600,21600"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aFnwY1wAAAAoBAAAPAAAAAAAAAAEAIAAAACIAAABkcnMvZG93&#10;bnJldi54bWxQSwECFAAUAAAACACHTuJAZD0cWjoCAABiBAAADgAAAAAAAAABACAAAAAmAQAAZHJz&#10;L2Uyb0RvYy54bWxQSwUGAAAAAAYABgBZAQAA0gU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w:r>
      <w:r>
        <w:rPr>
          <w:rFonts w:cs="Times New Roman" w:asciiTheme="minorEastAsia" w:hAnsiTheme="minorEastAsia"/>
          <w:sz w:val="28"/>
          <w:szCs w:val="28"/>
        </w:rPr>
        <w:pict>
          <v:shape id="_x0000_s1027" o:spid="_x0000_s1027" o:spt="202" type="#_x0000_t202" style="position:absolute;left:0pt;margin-left:1.4pt;margin-top:15.6pt;height:104.6pt;width:211.6pt;z-index:251674624;v-text-anchor:middle;mso-width-relative:page;mso-height-relative:page;" coordsize="21600,21600"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ksOnb1AAAAAgBAAAPAAAAAAAAAAEAIAAAACIAAABkcnMvZG93bnJldi54&#10;bWxQSwECFAAUAAAACACHTuJAOimFIDcCAABiBAAADgAAAAAAAAABACAAAAAjAQAAZHJzL2Uyb0Rv&#10;Yy54bWxQSwUGAAAAAAYABgBZAQAAzAU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w: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主要股东或出资人信息</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5"/>
        <w:gridCol w:w="1230"/>
        <w:gridCol w:w="2183"/>
        <w:gridCol w:w="1314"/>
        <w:gridCol w:w="1416"/>
        <w:gridCol w:w="1233"/>
        <w:gridCol w:w="9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（姓名）</w:t>
            </w: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统一社会信用代码</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（身份证号）</w:t>
            </w: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出资方式</w:t>
            </w: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出资金额</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（万元）</w:t>
            </w: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占全部股份比例</w:t>
            </w: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我方承诺，以上信息真实可靠；如填报的股东出资额、出资比例等与实际不符，视为放弃中标资格。</w:t>
      </w:r>
    </w:p>
    <w:p>
      <w:pPr>
        <w:rPr>
          <w:rFonts w:cs="Times New Roman" w:asciiTheme="minorEastAsia" w:hAnsiTheme="minorEastAsia"/>
          <w:kern w:val="0"/>
          <w:sz w:val="28"/>
          <w:szCs w:val="28"/>
        </w:rPr>
      </w:pPr>
    </w:p>
    <w:p>
      <w:pPr>
        <w:ind w:left="797" w:hanging="797" w:hangingChars="294"/>
        <w:rPr>
          <w:rFonts w:cs="Times New Roman" w:asciiTheme="minorEastAsia" w:hAnsiTheme="minorEastAsia"/>
          <w:kern w:val="0"/>
          <w:sz w:val="28"/>
          <w:szCs w:val="28"/>
        </w:rPr>
      </w:pPr>
      <w:r>
        <w:rPr>
          <w:rFonts w:hint="eastAsia" w:cs="Times New Roman" w:asciiTheme="minorEastAsia" w:hAnsiTheme="minorEastAsia"/>
          <w:kern w:val="0"/>
          <w:sz w:val="28"/>
          <w:szCs w:val="28"/>
        </w:rPr>
        <w:t>注：1.主要股东或出资人为法人的，填写法人全称及统一社会信用代码（尚未办理三证合一的填写组织机构代码）；为自然人的，填写自然人姓名和身份证号。</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2.出资方式填写货币、实物、工艺产权和非专利技术、土地使用权等。</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3.投标人应按照占全部股份比例从大到小依次逐个股东填写，股东数量多于10个的，填写前10名，不足10个的全部填写。</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ind w:firstLine="573"/>
        <w:rPr>
          <w:rFonts w:ascii="Times New Roman" w:hAnsi="Times New Roman" w:eastAsia="宋体" w:cs="Times New Roman"/>
          <w:kern w:val="0"/>
          <w:sz w:val="24"/>
          <w:szCs w:val="24"/>
        </w:rPr>
      </w:pPr>
      <w:r>
        <w:rPr>
          <w:rFonts w:ascii="Times New Roman" w:hAnsi="Times New Roman" w:eastAsia="宋体" w:cs="Times New Roman"/>
          <w:kern w:val="0"/>
          <w:sz w:val="28"/>
          <w:szCs w:val="28"/>
          <w:lang w:val="zh-CN"/>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保密承诺书</w:t>
      </w:r>
    </w:p>
    <w:p>
      <w:pPr>
        <w:rPr>
          <w:rFonts w:ascii="Times New Roman" w:hAnsi="Times New Roman" w:eastAsia="宋体" w:cs="Times New Roman"/>
          <w:kern w:val="0"/>
          <w:sz w:val="32"/>
          <w:szCs w:val="32"/>
        </w:rPr>
      </w:pPr>
    </w:p>
    <w:p>
      <w:pPr>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我方参加贵单位组织的编号为</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项目采购活动，根据有关保密法规制度，知悉应当承担的保密义务和法律责任，承诺如下：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一、严格遵守国家和军队的保密法律法规和规章制度，履行保密义务。</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二、不以任何方式泄露或传播本次采购项目相关信息。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三、不违规记录、存储、复制本次采购项目相关信息。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四、招标文件以及相关技术文件专室放置、专盘存储、专人管理。</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五、未经招标人审查批准，不得擅自在互联网、通讯媒体等发表涉及此次采购项目相关内容或资讯。 </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违反上述承诺，愿承担一切法律责任，接受军队采购管理部门和招标人按国家和军队规定作出的相关处罚。</w:t>
      </w:r>
    </w:p>
    <w:p>
      <w:pPr>
        <w:ind w:firstLine="1089" w:firstLineChars="402"/>
        <w:rPr>
          <w:rFonts w:cs="Times New Roman" w:asciiTheme="minorEastAsia" w:hAnsiTheme="minorEastAsia"/>
          <w:kern w:val="0"/>
          <w:sz w:val="28"/>
          <w:szCs w:val="28"/>
        </w:rPr>
      </w:pPr>
    </w:p>
    <w:p>
      <w:pPr>
        <w:ind w:firstLine="1089" w:firstLineChars="402"/>
        <w:rPr>
          <w:rFonts w:cs="Times New Roman" w:asciiTheme="minorEastAsia" w:hAnsiTheme="minorEastAsia"/>
          <w:kern w:val="0"/>
          <w:sz w:val="28"/>
          <w:szCs w:val="28"/>
        </w:rPr>
      </w:pPr>
      <w:r>
        <w:rPr>
          <w:rFonts w:cs="Times New Roman" w:asciiTheme="minorEastAsia" w:hAnsiTheme="minorEastAsia"/>
          <w:kern w:val="0"/>
          <w:sz w:val="28"/>
          <w:szCs w:val="28"/>
        </w:rPr>
        <w:t xml:space="preserve">                </w:t>
      </w: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廉洁诚信承诺书</w:t>
      </w:r>
    </w:p>
    <w:p>
      <w:pPr>
        <w:autoSpaceDE w:val="0"/>
        <w:autoSpaceDN w:val="0"/>
        <w:adjustRightInd w:val="0"/>
        <w:rPr>
          <w:rFonts w:cs="Times New Roman" w:asciiTheme="minorEastAsia" w:hAnsiTheme="minorEastAsia"/>
          <w:snapToGrid w:val="0"/>
          <w:kern w:val="0"/>
          <w:sz w:val="28"/>
          <w:szCs w:val="28"/>
        </w:rPr>
      </w:pPr>
    </w:p>
    <w:p>
      <w:pPr>
        <w:autoSpaceDE w:val="0"/>
        <w:autoSpaceDN w:val="0"/>
        <w:adjustRightInd w:val="0"/>
        <w:rPr>
          <w:rFonts w:cs="Times New Roman" w:asciiTheme="minorEastAsia" w:hAnsiTheme="minorEastAsia"/>
          <w:kern w:val="0"/>
          <w:sz w:val="28"/>
          <w:szCs w:val="28"/>
          <w:lang w:val="zh-CN"/>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根据国家、军队相关法律法规以及有关廉洁自律的规定，为保证招标采购活动廉洁、公正和有效，我方郑重承诺：</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2、</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承诺投标文件中提供的文件资料真实有效</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rPr>
        <w:t>3、</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承诺投标产品价格不得高于国内同级单位最低成交价</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如违反上述承诺，贵院有权取消我方的投标资格，由此引起的一切损失由我单位自行承担。</w:t>
      </w:r>
    </w:p>
    <w:p>
      <w:pPr>
        <w:autoSpaceDE w:val="0"/>
        <w:autoSpaceDN w:val="0"/>
        <w:adjustRightInd w:val="0"/>
        <w:ind w:firstLine="542" w:firstLineChars="200"/>
        <w:rPr>
          <w:rFonts w:cs="Times New Roman" w:asciiTheme="minorEastAsia" w:hAnsiTheme="minorEastAsia"/>
          <w:kern w:val="0"/>
          <w:sz w:val="28"/>
          <w:szCs w:val="28"/>
          <w:lang w:val="zh-CN"/>
        </w:rPr>
      </w:pPr>
    </w:p>
    <w:p>
      <w:pPr>
        <w:autoSpaceDE w:val="0"/>
        <w:autoSpaceDN w:val="0"/>
        <w:adjustRightInd w:val="0"/>
        <w:ind w:firstLine="542" w:firstLineChars="200"/>
        <w:rPr>
          <w:rFonts w:cs="Times New Roman"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Times New Roman" w:asciiTheme="minorEastAsia" w:hAnsiTheme="minorEastAsia"/>
          <w:kern w:val="0"/>
          <w:sz w:val="28"/>
          <w:szCs w:val="28"/>
          <w:lang w:val="zh-CN"/>
        </w:rPr>
        <w:t xml:space="preserve">     </w:t>
      </w:r>
      <w:r>
        <w:rPr>
          <w:rFonts w:hint="eastAsia" w:cs="宋体" w:asciiTheme="minorEastAsia" w:hAnsiTheme="minorEastAsia"/>
          <w:kern w:val="0"/>
          <w:sz w:val="28"/>
          <w:szCs w:val="28"/>
          <w:lang w:val="zh-CN"/>
        </w:rPr>
        <w:t>投标人全称：（盖章）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声明书</w:t>
      </w:r>
    </w:p>
    <w:p>
      <w:pPr>
        <w:rPr>
          <w:rFonts w:ascii="方正小标宋简体" w:hAnsi="Times New Roman" w:eastAsia="方正小标宋简体" w:cs="Times New Roman"/>
          <w:kern w:val="0"/>
          <w:sz w:val="32"/>
          <w:szCs w:val="32"/>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我方参加贵单位组织的</w:t>
      </w:r>
      <w:r>
        <w:rPr>
          <w:rFonts w:hint="eastAsia" w:cs="Times New Roman" w:asciiTheme="minorEastAsia" w:hAnsiTheme="minorEastAsia"/>
          <w:snapToGrid w:val="0"/>
          <w:kern w:val="0"/>
          <w:sz w:val="28"/>
          <w:szCs w:val="28"/>
          <w:u w:val="single"/>
        </w:rPr>
        <w:t xml:space="preserve">  （</w:t>
      </w:r>
      <w:r>
        <w:rPr>
          <w:rFonts w:cs="Times New Roman" w:asciiTheme="minorEastAsia" w:hAnsiTheme="minorEastAsia"/>
          <w:snapToGrid w:val="0"/>
          <w:kern w:val="0"/>
          <w:sz w:val="28"/>
          <w:szCs w:val="28"/>
          <w:u w:val="single"/>
        </w:rPr>
        <w:t>项目名称</w:t>
      </w:r>
      <w:r>
        <w:rPr>
          <w:rFonts w:hint="eastAsia" w:cs="Times New Roman" w:asciiTheme="minorEastAsia" w:hAnsiTheme="minorEastAsia"/>
          <w:snapToGrid w:val="0"/>
          <w:kern w:val="0"/>
          <w:sz w:val="28"/>
          <w:szCs w:val="28"/>
          <w:u w:val="single"/>
        </w:rPr>
        <w:t xml:space="preserve">）  </w:t>
      </w:r>
      <w:r>
        <w:rPr>
          <w:rFonts w:hint="eastAsia" w:cs="Times New Roman" w:asciiTheme="minorEastAsia" w:hAnsiTheme="minorEastAsia"/>
          <w:snapToGrid w:val="0"/>
          <w:kern w:val="0"/>
          <w:sz w:val="28"/>
          <w:szCs w:val="28"/>
        </w:rPr>
        <w:t>项目采购活动，现就有关事项声明如下：</w:t>
      </w:r>
      <w:r>
        <w:rPr>
          <w:rFonts w:cs="Times New Roman" w:asciiTheme="minorEastAsia" w:hAnsiTheme="minorEastAsia"/>
          <w:snapToGrid w:val="0"/>
          <w:kern w:val="0"/>
          <w:sz w:val="28"/>
          <w:szCs w:val="28"/>
        </w:rPr>
        <w:t xml:space="preserve"> </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pPr>
        <w:rPr>
          <w:rFonts w:cs="宋体" w:asciiTheme="minorEastAsia" w:hAnsiTheme="minorEastAsia"/>
          <w:kern w:val="0"/>
          <w:sz w:val="28"/>
          <w:szCs w:val="28"/>
          <w:lang w:val="zh-CN"/>
        </w:rPr>
      </w:pPr>
    </w:p>
    <w:p>
      <w:pPr>
        <w:autoSpaceDE w:val="0"/>
        <w:autoSpaceDN w:val="0"/>
        <w:adjustRightInd w:val="0"/>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 xml:space="preserve">  </w:t>
      </w:r>
    </w:p>
    <w:p>
      <w:pPr>
        <w:autoSpaceDE w:val="0"/>
        <w:autoSpaceDN w:val="0"/>
        <w:adjustRightInd w:val="0"/>
        <w:ind w:firstLine="266" w:firstLineChars="98"/>
        <w:rPr>
          <w:rFonts w:cs="Times New Roman" w:asciiTheme="minorEastAsia" w:hAnsiTheme="minorEastAsia"/>
          <w:snapToGrid w:val="0"/>
          <w:kern w:val="0"/>
          <w:sz w:val="28"/>
          <w:szCs w:val="28"/>
        </w:rPr>
      </w:pPr>
    </w:p>
    <w:p>
      <w:pPr>
        <w:rPr>
          <w:rFonts w:cs="宋体" w:asciiTheme="minorEastAsia" w:hAnsiTheme="minorEastAsia"/>
          <w:kern w:val="0"/>
          <w:sz w:val="28"/>
          <w:szCs w:val="28"/>
          <w:lang w:val="zh-CN"/>
        </w:rPr>
      </w:pPr>
    </w:p>
    <w:p>
      <w:pPr>
        <w:ind w:firstLine="2290" w:firstLineChars="8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color w:val="FF0000"/>
          <w:kern w:val="0"/>
          <w:szCs w:val="21"/>
        </w:rPr>
      </w:pPr>
      <w:r>
        <w:rPr>
          <w:rFonts w:hint="eastAsia" w:cs="Times New Roman" w:asciiTheme="minorEastAsia" w:hAnsiTheme="minorEastAsia"/>
          <w:snapToGrid w:val="0"/>
          <w:kern w:val="0"/>
          <w:szCs w:val="21"/>
        </w:rPr>
        <w:t>注：声明内容自行填写，包括但不限于以下内容</w:t>
      </w:r>
    </w:p>
    <w:p>
      <w:pPr>
        <w:autoSpaceDE w:val="0"/>
        <w:autoSpaceDN w:val="0"/>
        <w:adjustRightInd w:val="0"/>
        <w:snapToGrid w:val="0"/>
        <w:spacing w:line="360" w:lineRule="exact"/>
        <w:rPr>
          <w:rFonts w:cs="Times New Roman" w:asciiTheme="minorEastAsia" w:hAnsiTheme="minorEastAsia"/>
          <w:snapToGrid w:val="0"/>
          <w:kern w:val="0"/>
          <w:szCs w:val="21"/>
        </w:rPr>
      </w:pPr>
      <w:r>
        <w:rPr>
          <w:rFonts w:cs="Times New Roman" w:asciiTheme="minorEastAsia" w:hAnsiTheme="minorEastAsia"/>
          <w:snapToGrid w:val="0"/>
          <w:kern w:val="0"/>
          <w:szCs w:val="21"/>
        </w:rPr>
        <w:t>①</w:t>
      </w:r>
      <w:r>
        <w:rPr>
          <w:rFonts w:hint="eastAsia" w:cs="Times New Roman" w:asciiTheme="minorEastAsia" w:hAnsiTheme="minorEastAsia"/>
          <w:snapToGrid w:val="0"/>
          <w:kern w:val="0"/>
          <w:szCs w:val="21"/>
        </w:rPr>
        <w:t>非外资企业或外资控股企业；</w:t>
      </w:r>
    </w:p>
    <w:p>
      <w:pPr>
        <w:widowControl/>
        <w:adjustRightInd w:val="0"/>
        <w:snapToGrid w:val="0"/>
        <w:spacing w:line="360" w:lineRule="exact"/>
        <w:jc w:val="left"/>
        <w:rPr>
          <w:rFonts w:ascii="黑体" w:hAnsi="黑体" w:eastAsia="黑体" w:cs="Times New Roman"/>
          <w:kern w:val="0"/>
          <w:szCs w:val="21"/>
        </w:rPr>
      </w:pPr>
      <w:r>
        <w:rPr>
          <w:rFonts w:hint="eastAsia" w:cs="Times New Roman" w:asciiTheme="minorEastAsia" w:hAnsiTheme="minorEastAsia"/>
          <w:snapToGrid w:val="0"/>
          <w:kern w:val="0"/>
          <w:szCs w:val="21"/>
        </w:rPr>
        <w:t>②参加本次采购活动前3年内在经营活动中没有违法、违规、违约，以及项目质量和安全问题。</w:t>
      </w:r>
    </w:p>
    <w:p>
      <w:pPr>
        <w:rPr>
          <w:rFonts w:ascii="黑体" w:hAnsi="黑体" w:eastAsia="黑体" w:cs="Times New Roman"/>
          <w:kern w:val="0"/>
          <w:sz w:val="32"/>
          <w:szCs w:val="32"/>
        </w:rPr>
      </w:pPr>
      <w:r>
        <w:rPr>
          <w:rFonts w:hint="eastAsia" w:ascii="黑体" w:hAnsi="黑体" w:eastAsia="黑体" w:cs="Times New Roman"/>
          <w:kern w:val="0"/>
          <w:sz w:val="32"/>
          <w:szCs w:val="32"/>
        </w:rPr>
        <w:t>附件22</w:t>
      </w:r>
    </w:p>
    <w:p>
      <w:pPr>
        <w:jc w:val="center"/>
        <w:rPr>
          <w:rFonts w:ascii="宋体" w:hAnsi="宋体" w:eastAsia="宋体" w:cs="宋体"/>
          <w:kern w:val="0"/>
          <w:szCs w:val="21"/>
        </w:rPr>
      </w:pPr>
      <w:r>
        <w:rPr>
          <w:rFonts w:hint="eastAsia" w:ascii="方正小标宋简体" w:hAnsi="Times New Roman" w:eastAsia="方正小标宋简体" w:cs="Times New Roman"/>
          <w:kern w:val="0"/>
          <w:sz w:val="32"/>
          <w:szCs w:val="32"/>
        </w:rPr>
        <w:t>生产企业对代理公司投标授权书</w:t>
      </w:r>
    </w:p>
    <w:p>
      <w:pPr>
        <w:jc w:val="center"/>
        <w:rPr>
          <w:rFonts w:ascii="方正小标宋简体" w:hAnsi="Times New Roman" w:eastAsia="方正小标宋简体" w:cs="Times New Roman"/>
          <w:kern w:val="0"/>
          <w:sz w:val="28"/>
          <w:szCs w:val="28"/>
        </w:rPr>
      </w:pPr>
      <w:r>
        <w:rPr>
          <w:rFonts w:hint="eastAsia" w:ascii="方正小标宋简体" w:hAnsi="Times New Roman" w:eastAsia="方正小标宋简体" w:cs="Times New Roman"/>
          <w:kern w:val="0"/>
          <w:sz w:val="28"/>
          <w:szCs w:val="28"/>
        </w:rPr>
        <w:t>（格式不限）</w:t>
      </w:r>
    </w:p>
    <w:p>
      <w:pPr>
        <w:widowControl/>
        <w:jc w:val="left"/>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1、授权书的格式不限，但必须具有授权单位与授权人的公章/签章，授权销售区域，授权期限（起止日期）等主要内容。</w:t>
      </w: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2、进口产品需提供原厂对中国总代的中英文授权，并提供中国总代至各级销售授权书。</w:t>
      </w: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3、生产厂家直接投标的不需此文件。</w:t>
      </w:r>
    </w:p>
    <w:sectPr>
      <w:headerReference r:id="rId12" w:type="default"/>
      <w:pgSz w:w="11906" w:h="16838"/>
      <w:pgMar w:top="2098" w:right="1474" w:bottom="1985" w:left="1588" w:header="851" w:footer="992" w:gutter="0"/>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Dotum">
    <w:panose1 w:val="020B0600000101010101"/>
    <w:charset w:val="81"/>
    <w:family w:val="swiss"/>
    <w:pitch w:val="default"/>
    <w:sig w:usb0="B00002AF" w:usb1="69D77CFB" w:usb2="00000030" w:usb3="00000000" w:csb0="4008009F" w:csb1="DFD7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3</w:t>
    </w:r>
    <w:r>
      <w:rPr>
        <w:rStyle w:val="20"/>
        <w:sz w:val="24"/>
        <w:szCs w:val="24"/>
      </w:rPr>
      <w:fldChar w:fldCharType="end"/>
    </w:r>
    <w:r>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17</w:t>
    </w:r>
    <w:r>
      <w:rPr>
        <w:rStyle w:val="20"/>
        <w:sz w:val="24"/>
        <w:szCs w:val="24"/>
      </w:rPr>
      <w:fldChar w:fldCharType="end"/>
    </w:r>
    <w:r>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ascii="宋体"/>
        <w:sz w:val="24"/>
        <w:szCs w:val="24"/>
      </w:rPr>
    </w:pPr>
    <w:r>
      <w:rPr>
        <w:rFonts w:hint="eastAsia" w:ascii="宋体"/>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57</w:t>
    </w:r>
    <w:r>
      <w:rPr>
        <w:rStyle w:val="20"/>
        <w:sz w:val="24"/>
        <w:szCs w:val="24"/>
      </w:rPr>
      <w:fldChar w:fldCharType="end"/>
    </w:r>
    <w:r>
      <w:rPr>
        <w:rFonts w:hint="eastAsia" w:ascii="宋体"/>
        <w:sz w:val="24"/>
        <w:szCs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招标公告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技术和</w:t>
    </w:r>
    <w:r>
      <w:rPr>
        <w:rFonts w:hint="eastAsia" w:ascii="楷体_GB2312" w:eastAsia="楷体_GB2312"/>
        <w:sz w:val="21"/>
        <w:szCs w:val="21"/>
      </w:rPr>
      <w:t>商</w:t>
    </w:r>
    <w:r>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投标人须知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 xml:space="preserve">招标文件    </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投标文件格式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eastAsia="楷体_GB2312"/>
        <w:bCs/>
        <w:sz w:val="21"/>
        <w:szCs w:val="21"/>
      </w:rPr>
    </w:pPr>
    <w:r>
      <w:rPr>
        <w:rFonts w:hint="eastAsia" w:ascii="楷体_GB2312" w:eastAsia="楷体_GB2312"/>
        <w:bCs/>
        <w:sz w:val="21"/>
        <w:szCs w:val="21"/>
      </w:rPr>
      <w:t>招标文件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投标文件格式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eastAsia="楷体_GB2312"/>
        <w:bCs/>
        <w:sz w:val="21"/>
        <w:szCs w:val="21"/>
      </w:rPr>
    </w:pPr>
    <w:r>
      <w:rPr>
        <w:rFonts w:hint="eastAsia" w:ascii="楷体_GB2312" w:eastAsia="楷体_GB2312"/>
        <w:bCs/>
        <w:sz w:val="21"/>
        <w:szCs w:val="21"/>
      </w:rPr>
      <w:t>招标文件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投标文件格式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F66DCB"/>
    <w:multiLevelType w:val="singleLevel"/>
    <w:tmpl w:val="C3F66DCB"/>
    <w:lvl w:ilvl="0" w:tentative="0">
      <w:start w:val="1"/>
      <w:numFmt w:val="chineseCounting"/>
      <w:suff w:val="nothing"/>
      <w:lvlText w:val="%1、"/>
      <w:lvlJc w:val="left"/>
      <w:rPr>
        <w:rFonts w:hint="eastAsia"/>
      </w:rPr>
    </w:lvl>
  </w:abstractNum>
  <w:abstractNum w:abstractNumId="1">
    <w:nsid w:val="4B01346F"/>
    <w:multiLevelType w:val="multilevel"/>
    <w:tmpl w:val="4B01346F"/>
    <w:lvl w:ilvl="0" w:tentative="0">
      <w:start w:val="1"/>
      <w:numFmt w:val="decimal"/>
      <w:lvlText w:val="%1.  "/>
      <w:lvlJc w:val="left"/>
      <w:pPr>
        <w:ind w:left="935" w:hanging="420"/>
      </w:pPr>
      <w:rPr>
        <w:rFonts w:hint="default" w:ascii="Times New Roman" w:hAnsi="Times New Roman" w:cs="Times New Roman"/>
        <w:color w:val="auto"/>
      </w:rPr>
    </w:lvl>
    <w:lvl w:ilvl="1" w:tentative="0">
      <w:start w:val="1"/>
      <w:numFmt w:val="lowerLetter"/>
      <w:lvlText w:val="%2)"/>
      <w:lvlJc w:val="left"/>
      <w:pPr>
        <w:ind w:left="1355" w:hanging="420"/>
      </w:pPr>
    </w:lvl>
    <w:lvl w:ilvl="2" w:tentative="0">
      <w:start w:val="1"/>
      <w:numFmt w:val="lowerRoman"/>
      <w:lvlText w:val="%3."/>
      <w:lvlJc w:val="right"/>
      <w:pPr>
        <w:ind w:left="1775" w:hanging="420"/>
      </w:pPr>
    </w:lvl>
    <w:lvl w:ilvl="3" w:tentative="0">
      <w:start w:val="1"/>
      <w:numFmt w:val="decimal"/>
      <w:suff w:val="nothing"/>
      <w:lvlText w:val="%4. "/>
      <w:lvlJc w:val="left"/>
      <w:pPr>
        <w:ind w:left="1413" w:hanging="420"/>
      </w:pPr>
      <w:rPr>
        <w:rFonts w:hint="eastAsia"/>
      </w:rPr>
    </w:lvl>
    <w:lvl w:ilvl="4" w:tentative="0">
      <w:start w:val="1"/>
      <w:numFmt w:val="lowerLetter"/>
      <w:lvlText w:val="%5)"/>
      <w:lvlJc w:val="left"/>
      <w:pPr>
        <w:ind w:left="2615" w:hanging="420"/>
      </w:pPr>
    </w:lvl>
    <w:lvl w:ilvl="5" w:tentative="0">
      <w:start w:val="1"/>
      <w:numFmt w:val="lowerRoman"/>
      <w:lvlText w:val="%6."/>
      <w:lvlJc w:val="right"/>
      <w:pPr>
        <w:ind w:left="3035" w:hanging="420"/>
      </w:pPr>
    </w:lvl>
    <w:lvl w:ilvl="6" w:tentative="0">
      <w:start w:val="1"/>
      <w:numFmt w:val="decimal"/>
      <w:lvlText w:val="%7."/>
      <w:lvlJc w:val="left"/>
      <w:pPr>
        <w:ind w:left="3455" w:hanging="420"/>
      </w:pPr>
    </w:lvl>
    <w:lvl w:ilvl="7" w:tentative="0">
      <w:start w:val="1"/>
      <w:numFmt w:val="lowerLetter"/>
      <w:lvlText w:val="%8)"/>
      <w:lvlJc w:val="left"/>
      <w:pPr>
        <w:ind w:left="3875" w:hanging="420"/>
      </w:pPr>
    </w:lvl>
    <w:lvl w:ilvl="8" w:tentative="0">
      <w:start w:val="1"/>
      <w:numFmt w:val="lowerRoman"/>
      <w:lvlText w:val="%9."/>
      <w:lvlJc w:val="right"/>
      <w:pPr>
        <w:ind w:left="429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201"/>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F19EE"/>
    <w:rsid w:val="00002C2E"/>
    <w:rsid w:val="00002FA2"/>
    <w:rsid w:val="00004634"/>
    <w:rsid w:val="0000573F"/>
    <w:rsid w:val="00013467"/>
    <w:rsid w:val="0001562D"/>
    <w:rsid w:val="000158F6"/>
    <w:rsid w:val="00016044"/>
    <w:rsid w:val="000160A3"/>
    <w:rsid w:val="00021B72"/>
    <w:rsid w:val="000251D9"/>
    <w:rsid w:val="00026C64"/>
    <w:rsid w:val="00030F28"/>
    <w:rsid w:val="000347B9"/>
    <w:rsid w:val="00034E63"/>
    <w:rsid w:val="00041450"/>
    <w:rsid w:val="00042DCC"/>
    <w:rsid w:val="0004687A"/>
    <w:rsid w:val="00050482"/>
    <w:rsid w:val="00054AFA"/>
    <w:rsid w:val="0005519E"/>
    <w:rsid w:val="0005539D"/>
    <w:rsid w:val="000636CA"/>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77FA"/>
    <w:rsid w:val="000B0A52"/>
    <w:rsid w:val="000B1F30"/>
    <w:rsid w:val="000B4FE3"/>
    <w:rsid w:val="000D1724"/>
    <w:rsid w:val="000D4E07"/>
    <w:rsid w:val="000E0A9C"/>
    <w:rsid w:val="000E203F"/>
    <w:rsid w:val="000E2378"/>
    <w:rsid w:val="000E441D"/>
    <w:rsid w:val="000F19EE"/>
    <w:rsid w:val="000F241F"/>
    <w:rsid w:val="000F32D2"/>
    <w:rsid w:val="000F6B44"/>
    <w:rsid w:val="000F7F74"/>
    <w:rsid w:val="00100C14"/>
    <w:rsid w:val="00104F9C"/>
    <w:rsid w:val="00112AB8"/>
    <w:rsid w:val="00117521"/>
    <w:rsid w:val="0011792C"/>
    <w:rsid w:val="001179D2"/>
    <w:rsid w:val="0012622A"/>
    <w:rsid w:val="0012758E"/>
    <w:rsid w:val="00132440"/>
    <w:rsid w:val="001370A6"/>
    <w:rsid w:val="00143A5E"/>
    <w:rsid w:val="00145EE0"/>
    <w:rsid w:val="0015050A"/>
    <w:rsid w:val="001509A9"/>
    <w:rsid w:val="00153080"/>
    <w:rsid w:val="00154A37"/>
    <w:rsid w:val="00155AB8"/>
    <w:rsid w:val="00156746"/>
    <w:rsid w:val="00160CAA"/>
    <w:rsid w:val="00161C89"/>
    <w:rsid w:val="00163061"/>
    <w:rsid w:val="0016323B"/>
    <w:rsid w:val="001670CC"/>
    <w:rsid w:val="00170A53"/>
    <w:rsid w:val="00170CAC"/>
    <w:rsid w:val="001723F0"/>
    <w:rsid w:val="00172E51"/>
    <w:rsid w:val="0017341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4128"/>
    <w:rsid w:val="001C7DE1"/>
    <w:rsid w:val="001D04C7"/>
    <w:rsid w:val="001D3A1B"/>
    <w:rsid w:val="001D70FA"/>
    <w:rsid w:val="001E193A"/>
    <w:rsid w:val="001E3944"/>
    <w:rsid w:val="001E3BC8"/>
    <w:rsid w:val="001E3D72"/>
    <w:rsid w:val="001F49DF"/>
    <w:rsid w:val="001F602A"/>
    <w:rsid w:val="001F665F"/>
    <w:rsid w:val="00200C01"/>
    <w:rsid w:val="00214820"/>
    <w:rsid w:val="00217B83"/>
    <w:rsid w:val="00220449"/>
    <w:rsid w:val="00220BEB"/>
    <w:rsid w:val="00222099"/>
    <w:rsid w:val="002253F6"/>
    <w:rsid w:val="00230E9D"/>
    <w:rsid w:val="00235E78"/>
    <w:rsid w:val="002367B0"/>
    <w:rsid w:val="002400C7"/>
    <w:rsid w:val="00241372"/>
    <w:rsid w:val="00244F73"/>
    <w:rsid w:val="0025364F"/>
    <w:rsid w:val="00254550"/>
    <w:rsid w:val="00255ABB"/>
    <w:rsid w:val="0025704A"/>
    <w:rsid w:val="002579DE"/>
    <w:rsid w:val="00262608"/>
    <w:rsid w:val="0027075E"/>
    <w:rsid w:val="00275151"/>
    <w:rsid w:val="0027705C"/>
    <w:rsid w:val="002803F1"/>
    <w:rsid w:val="00280EA8"/>
    <w:rsid w:val="00281483"/>
    <w:rsid w:val="00281540"/>
    <w:rsid w:val="00282BA9"/>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202E"/>
    <w:rsid w:val="002B38DD"/>
    <w:rsid w:val="002B6049"/>
    <w:rsid w:val="002B7194"/>
    <w:rsid w:val="002C0130"/>
    <w:rsid w:val="002C0F66"/>
    <w:rsid w:val="002C1344"/>
    <w:rsid w:val="002C6A11"/>
    <w:rsid w:val="002C7079"/>
    <w:rsid w:val="002C7283"/>
    <w:rsid w:val="002D0966"/>
    <w:rsid w:val="002D331A"/>
    <w:rsid w:val="002D43F5"/>
    <w:rsid w:val="002D5161"/>
    <w:rsid w:val="002D5B51"/>
    <w:rsid w:val="002E011C"/>
    <w:rsid w:val="002E0A0C"/>
    <w:rsid w:val="002E3D9F"/>
    <w:rsid w:val="002F1927"/>
    <w:rsid w:val="003027C7"/>
    <w:rsid w:val="00302A57"/>
    <w:rsid w:val="00302A79"/>
    <w:rsid w:val="00302BCC"/>
    <w:rsid w:val="00310302"/>
    <w:rsid w:val="00312142"/>
    <w:rsid w:val="00314ADF"/>
    <w:rsid w:val="00317B20"/>
    <w:rsid w:val="00320702"/>
    <w:rsid w:val="0032757D"/>
    <w:rsid w:val="0032766C"/>
    <w:rsid w:val="003276E6"/>
    <w:rsid w:val="00335EF0"/>
    <w:rsid w:val="00336DFF"/>
    <w:rsid w:val="00340B6D"/>
    <w:rsid w:val="0034221C"/>
    <w:rsid w:val="00342A28"/>
    <w:rsid w:val="00343140"/>
    <w:rsid w:val="00346B6C"/>
    <w:rsid w:val="00350CE6"/>
    <w:rsid w:val="00353505"/>
    <w:rsid w:val="00356BD1"/>
    <w:rsid w:val="0035787E"/>
    <w:rsid w:val="003611CA"/>
    <w:rsid w:val="00361426"/>
    <w:rsid w:val="00365563"/>
    <w:rsid w:val="003721E4"/>
    <w:rsid w:val="00381B40"/>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402"/>
    <w:rsid w:val="0042719D"/>
    <w:rsid w:val="004350C6"/>
    <w:rsid w:val="004359C8"/>
    <w:rsid w:val="00435AE4"/>
    <w:rsid w:val="004404EB"/>
    <w:rsid w:val="00441D08"/>
    <w:rsid w:val="00443086"/>
    <w:rsid w:val="00443F77"/>
    <w:rsid w:val="00447DED"/>
    <w:rsid w:val="00452784"/>
    <w:rsid w:val="00453C16"/>
    <w:rsid w:val="004559AE"/>
    <w:rsid w:val="00455BD3"/>
    <w:rsid w:val="0045635E"/>
    <w:rsid w:val="00456462"/>
    <w:rsid w:val="004569F6"/>
    <w:rsid w:val="00456AED"/>
    <w:rsid w:val="0046063F"/>
    <w:rsid w:val="00463F09"/>
    <w:rsid w:val="00464557"/>
    <w:rsid w:val="00471BF6"/>
    <w:rsid w:val="00472142"/>
    <w:rsid w:val="00475253"/>
    <w:rsid w:val="00476D8F"/>
    <w:rsid w:val="004817C9"/>
    <w:rsid w:val="0048184A"/>
    <w:rsid w:val="004855DB"/>
    <w:rsid w:val="00486FAC"/>
    <w:rsid w:val="00490B39"/>
    <w:rsid w:val="0049116F"/>
    <w:rsid w:val="00497561"/>
    <w:rsid w:val="004A2AB0"/>
    <w:rsid w:val="004A51A4"/>
    <w:rsid w:val="004B3316"/>
    <w:rsid w:val="004C0B0A"/>
    <w:rsid w:val="004C1A39"/>
    <w:rsid w:val="004C6962"/>
    <w:rsid w:val="004C7646"/>
    <w:rsid w:val="004D09D9"/>
    <w:rsid w:val="004D23FB"/>
    <w:rsid w:val="004D48E0"/>
    <w:rsid w:val="004E037D"/>
    <w:rsid w:val="004E0BAB"/>
    <w:rsid w:val="004E162D"/>
    <w:rsid w:val="004E18EC"/>
    <w:rsid w:val="004E3F98"/>
    <w:rsid w:val="004E60AD"/>
    <w:rsid w:val="004F4BBC"/>
    <w:rsid w:val="004F5759"/>
    <w:rsid w:val="005016FA"/>
    <w:rsid w:val="00501BD3"/>
    <w:rsid w:val="005026E6"/>
    <w:rsid w:val="00505765"/>
    <w:rsid w:val="00505E0B"/>
    <w:rsid w:val="00506149"/>
    <w:rsid w:val="00506678"/>
    <w:rsid w:val="0051161F"/>
    <w:rsid w:val="00512A58"/>
    <w:rsid w:val="00514365"/>
    <w:rsid w:val="005143F2"/>
    <w:rsid w:val="00516724"/>
    <w:rsid w:val="00517248"/>
    <w:rsid w:val="00526DAB"/>
    <w:rsid w:val="00530149"/>
    <w:rsid w:val="00531428"/>
    <w:rsid w:val="005342E3"/>
    <w:rsid w:val="00541A12"/>
    <w:rsid w:val="005431D4"/>
    <w:rsid w:val="005501A2"/>
    <w:rsid w:val="005538B6"/>
    <w:rsid w:val="005643ED"/>
    <w:rsid w:val="00564779"/>
    <w:rsid w:val="00564DF4"/>
    <w:rsid w:val="00566914"/>
    <w:rsid w:val="005704FC"/>
    <w:rsid w:val="0057527E"/>
    <w:rsid w:val="0057658B"/>
    <w:rsid w:val="00577C87"/>
    <w:rsid w:val="0058033F"/>
    <w:rsid w:val="00592954"/>
    <w:rsid w:val="00593668"/>
    <w:rsid w:val="005A03AA"/>
    <w:rsid w:val="005A4B13"/>
    <w:rsid w:val="005A4B8A"/>
    <w:rsid w:val="005A63B3"/>
    <w:rsid w:val="005B1A5E"/>
    <w:rsid w:val="005B2EA3"/>
    <w:rsid w:val="005B3948"/>
    <w:rsid w:val="005C0D9D"/>
    <w:rsid w:val="005C1F06"/>
    <w:rsid w:val="005C3150"/>
    <w:rsid w:val="005D0B03"/>
    <w:rsid w:val="005E60DB"/>
    <w:rsid w:val="005F4A22"/>
    <w:rsid w:val="005F507A"/>
    <w:rsid w:val="005F5D7D"/>
    <w:rsid w:val="005F680F"/>
    <w:rsid w:val="00603D4C"/>
    <w:rsid w:val="00603E3C"/>
    <w:rsid w:val="006147F1"/>
    <w:rsid w:val="00614A6A"/>
    <w:rsid w:val="006202D4"/>
    <w:rsid w:val="0062359B"/>
    <w:rsid w:val="006262F0"/>
    <w:rsid w:val="00627EB1"/>
    <w:rsid w:val="00644283"/>
    <w:rsid w:val="00646B99"/>
    <w:rsid w:val="00647C90"/>
    <w:rsid w:val="00652826"/>
    <w:rsid w:val="00652A4D"/>
    <w:rsid w:val="0066462B"/>
    <w:rsid w:val="00665B4B"/>
    <w:rsid w:val="00665B57"/>
    <w:rsid w:val="00666127"/>
    <w:rsid w:val="0067109C"/>
    <w:rsid w:val="00671BDE"/>
    <w:rsid w:val="0067234D"/>
    <w:rsid w:val="006753D8"/>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4A93"/>
    <w:rsid w:val="006F621C"/>
    <w:rsid w:val="00700EA9"/>
    <w:rsid w:val="007048F0"/>
    <w:rsid w:val="00706B94"/>
    <w:rsid w:val="00707587"/>
    <w:rsid w:val="00712CBC"/>
    <w:rsid w:val="007144A6"/>
    <w:rsid w:val="007154D8"/>
    <w:rsid w:val="00723750"/>
    <w:rsid w:val="0072438F"/>
    <w:rsid w:val="00724A15"/>
    <w:rsid w:val="00724F47"/>
    <w:rsid w:val="007264A9"/>
    <w:rsid w:val="00726DAE"/>
    <w:rsid w:val="007302D1"/>
    <w:rsid w:val="007335ED"/>
    <w:rsid w:val="00733A42"/>
    <w:rsid w:val="00733BDD"/>
    <w:rsid w:val="00733F31"/>
    <w:rsid w:val="00750539"/>
    <w:rsid w:val="00751CB1"/>
    <w:rsid w:val="00760AB4"/>
    <w:rsid w:val="00765BBC"/>
    <w:rsid w:val="00767719"/>
    <w:rsid w:val="00767AAD"/>
    <w:rsid w:val="0077100A"/>
    <w:rsid w:val="0077103A"/>
    <w:rsid w:val="00772B5D"/>
    <w:rsid w:val="007731DA"/>
    <w:rsid w:val="0077339D"/>
    <w:rsid w:val="0077559A"/>
    <w:rsid w:val="00776432"/>
    <w:rsid w:val="00780C9C"/>
    <w:rsid w:val="0078225A"/>
    <w:rsid w:val="007823A9"/>
    <w:rsid w:val="00782884"/>
    <w:rsid w:val="00783162"/>
    <w:rsid w:val="007876EF"/>
    <w:rsid w:val="00790E1A"/>
    <w:rsid w:val="007912E6"/>
    <w:rsid w:val="00794142"/>
    <w:rsid w:val="00794DFB"/>
    <w:rsid w:val="007A06DB"/>
    <w:rsid w:val="007A0E7A"/>
    <w:rsid w:val="007A1E3A"/>
    <w:rsid w:val="007B2A7F"/>
    <w:rsid w:val="007B31EB"/>
    <w:rsid w:val="007B376E"/>
    <w:rsid w:val="007B6E7C"/>
    <w:rsid w:val="007B79E4"/>
    <w:rsid w:val="007C28FA"/>
    <w:rsid w:val="007C3B80"/>
    <w:rsid w:val="007C42A8"/>
    <w:rsid w:val="007C610C"/>
    <w:rsid w:val="007C687E"/>
    <w:rsid w:val="007C7791"/>
    <w:rsid w:val="007D5626"/>
    <w:rsid w:val="007D6B4A"/>
    <w:rsid w:val="007E05D4"/>
    <w:rsid w:val="007E1C94"/>
    <w:rsid w:val="007E2690"/>
    <w:rsid w:val="007E2FA9"/>
    <w:rsid w:val="007E33AC"/>
    <w:rsid w:val="007E4DE9"/>
    <w:rsid w:val="007E71E8"/>
    <w:rsid w:val="007E7368"/>
    <w:rsid w:val="007F021A"/>
    <w:rsid w:val="007F2105"/>
    <w:rsid w:val="007F39A1"/>
    <w:rsid w:val="007F4898"/>
    <w:rsid w:val="007F4F86"/>
    <w:rsid w:val="00803595"/>
    <w:rsid w:val="008055AC"/>
    <w:rsid w:val="00810E36"/>
    <w:rsid w:val="00813A34"/>
    <w:rsid w:val="00817F8B"/>
    <w:rsid w:val="00820413"/>
    <w:rsid w:val="0082198C"/>
    <w:rsid w:val="00825390"/>
    <w:rsid w:val="00830AC0"/>
    <w:rsid w:val="00830D03"/>
    <w:rsid w:val="00830FC4"/>
    <w:rsid w:val="00833B0E"/>
    <w:rsid w:val="00835412"/>
    <w:rsid w:val="00842750"/>
    <w:rsid w:val="00844B61"/>
    <w:rsid w:val="00846F55"/>
    <w:rsid w:val="00850279"/>
    <w:rsid w:val="008518CF"/>
    <w:rsid w:val="008557A0"/>
    <w:rsid w:val="00855AC0"/>
    <w:rsid w:val="00856711"/>
    <w:rsid w:val="00857990"/>
    <w:rsid w:val="008642CB"/>
    <w:rsid w:val="00864339"/>
    <w:rsid w:val="00871AA1"/>
    <w:rsid w:val="008731D1"/>
    <w:rsid w:val="00881A2F"/>
    <w:rsid w:val="008879B2"/>
    <w:rsid w:val="00890364"/>
    <w:rsid w:val="00892407"/>
    <w:rsid w:val="00894FD2"/>
    <w:rsid w:val="00895983"/>
    <w:rsid w:val="008A0E95"/>
    <w:rsid w:val="008A392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1ED"/>
    <w:rsid w:val="00914CA0"/>
    <w:rsid w:val="00917AC9"/>
    <w:rsid w:val="00922C1C"/>
    <w:rsid w:val="00924CF4"/>
    <w:rsid w:val="00925716"/>
    <w:rsid w:val="0092784F"/>
    <w:rsid w:val="00930468"/>
    <w:rsid w:val="00931D4D"/>
    <w:rsid w:val="0093212A"/>
    <w:rsid w:val="00932621"/>
    <w:rsid w:val="00934050"/>
    <w:rsid w:val="00936837"/>
    <w:rsid w:val="00941CD2"/>
    <w:rsid w:val="009474B3"/>
    <w:rsid w:val="009478E9"/>
    <w:rsid w:val="009554D8"/>
    <w:rsid w:val="009570D9"/>
    <w:rsid w:val="00957388"/>
    <w:rsid w:val="00962E40"/>
    <w:rsid w:val="0096732E"/>
    <w:rsid w:val="00977E68"/>
    <w:rsid w:val="00977F7E"/>
    <w:rsid w:val="00980D50"/>
    <w:rsid w:val="00981994"/>
    <w:rsid w:val="00985CB0"/>
    <w:rsid w:val="009876D3"/>
    <w:rsid w:val="00993684"/>
    <w:rsid w:val="00993A4B"/>
    <w:rsid w:val="0099585E"/>
    <w:rsid w:val="00997675"/>
    <w:rsid w:val="009A1A23"/>
    <w:rsid w:val="009A4C72"/>
    <w:rsid w:val="009A68A6"/>
    <w:rsid w:val="009B02ED"/>
    <w:rsid w:val="009B1DC8"/>
    <w:rsid w:val="009B4A1B"/>
    <w:rsid w:val="009B55F3"/>
    <w:rsid w:val="009B598D"/>
    <w:rsid w:val="009B6673"/>
    <w:rsid w:val="009B6C69"/>
    <w:rsid w:val="009B7EA9"/>
    <w:rsid w:val="009C00DD"/>
    <w:rsid w:val="009C4029"/>
    <w:rsid w:val="009C55EE"/>
    <w:rsid w:val="009D06C0"/>
    <w:rsid w:val="009D217C"/>
    <w:rsid w:val="009D403B"/>
    <w:rsid w:val="009E48BE"/>
    <w:rsid w:val="009F16A1"/>
    <w:rsid w:val="009F315B"/>
    <w:rsid w:val="00A03529"/>
    <w:rsid w:val="00A05A0E"/>
    <w:rsid w:val="00A11831"/>
    <w:rsid w:val="00A11DC2"/>
    <w:rsid w:val="00A1300A"/>
    <w:rsid w:val="00A1323F"/>
    <w:rsid w:val="00A15AB3"/>
    <w:rsid w:val="00A15AF7"/>
    <w:rsid w:val="00A16C22"/>
    <w:rsid w:val="00A25764"/>
    <w:rsid w:val="00A31724"/>
    <w:rsid w:val="00A346B1"/>
    <w:rsid w:val="00A36553"/>
    <w:rsid w:val="00A37843"/>
    <w:rsid w:val="00A41211"/>
    <w:rsid w:val="00A416F4"/>
    <w:rsid w:val="00A46821"/>
    <w:rsid w:val="00A522F8"/>
    <w:rsid w:val="00A53651"/>
    <w:rsid w:val="00A53BD8"/>
    <w:rsid w:val="00A56B19"/>
    <w:rsid w:val="00A606E9"/>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140D"/>
    <w:rsid w:val="00AB4A4E"/>
    <w:rsid w:val="00AB4AFD"/>
    <w:rsid w:val="00AB5A7B"/>
    <w:rsid w:val="00AC1106"/>
    <w:rsid w:val="00AC2501"/>
    <w:rsid w:val="00AC5B29"/>
    <w:rsid w:val="00AC6ABA"/>
    <w:rsid w:val="00AC7215"/>
    <w:rsid w:val="00AC7F20"/>
    <w:rsid w:val="00AC7F58"/>
    <w:rsid w:val="00AD3762"/>
    <w:rsid w:val="00AD6F80"/>
    <w:rsid w:val="00AE024F"/>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7ACA"/>
    <w:rsid w:val="00B14E99"/>
    <w:rsid w:val="00B16B77"/>
    <w:rsid w:val="00B20AA0"/>
    <w:rsid w:val="00B24395"/>
    <w:rsid w:val="00B2575B"/>
    <w:rsid w:val="00B25CCF"/>
    <w:rsid w:val="00B312BF"/>
    <w:rsid w:val="00B33EB7"/>
    <w:rsid w:val="00B36D3D"/>
    <w:rsid w:val="00B3727D"/>
    <w:rsid w:val="00B3729E"/>
    <w:rsid w:val="00B40D8F"/>
    <w:rsid w:val="00B42007"/>
    <w:rsid w:val="00B45248"/>
    <w:rsid w:val="00B5113A"/>
    <w:rsid w:val="00B554DE"/>
    <w:rsid w:val="00B57556"/>
    <w:rsid w:val="00B613E9"/>
    <w:rsid w:val="00B62611"/>
    <w:rsid w:val="00B63207"/>
    <w:rsid w:val="00B63A58"/>
    <w:rsid w:val="00B64ACD"/>
    <w:rsid w:val="00B70AC4"/>
    <w:rsid w:val="00B74023"/>
    <w:rsid w:val="00B74539"/>
    <w:rsid w:val="00B83170"/>
    <w:rsid w:val="00B832AC"/>
    <w:rsid w:val="00B83D1A"/>
    <w:rsid w:val="00B85169"/>
    <w:rsid w:val="00B87CEC"/>
    <w:rsid w:val="00B90304"/>
    <w:rsid w:val="00B918E6"/>
    <w:rsid w:val="00B944A5"/>
    <w:rsid w:val="00B94A8A"/>
    <w:rsid w:val="00BA1EA0"/>
    <w:rsid w:val="00BA71AE"/>
    <w:rsid w:val="00BB2B8E"/>
    <w:rsid w:val="00BB380A"/>
    <w:rsid w:val="00BB488F"/>
    <w:rsid w:val="00BB7CF6"/>
    <w:rsid w:val="00BC21AC"/>
    <w:rsid w:val="00BD1E15"/>
    <w:rsid w:val="00BD39AC"/>
    <w:rsid w:val="00BD737A"/>
    <w:rsid w:val="00BD7CAC"/>
    <w:rsid w:val="00BE4874"/>
    <w:rsid w:val="00BE4D46"/>
    <w:rsid w:val="00BF1317"/>
    <w:rsid w:val="00BF60B1"/>
    <w:rsid w:val="00C0287F"/>
    <w:rsid w:val="00C02CD6"/>
    <w:rsid w:val="00C03359"/>
    <w:rsid w:val="00C05979"/>
    <w:rsid w:val="00C05988"/>
    <w:rsid w:val="00C05E71"/>
    <w:rsid w:val="00C116BF"/>
    <w:rsid w:val="00C1522D"/>
    <w:rsid w:val="00C17C0C"/>
    <w:rsid w:val="00C17E1B"/>
    <w:rsid w:val="00C257E3"/>
    <w:rsid w:val="00C3022B"/>
    <w:rsid w:val="00C3311B"/>
    <w:rsid w:val="00C41960"/>
    <w:rsid w:val="00C4330B"/>
    <w:rsid w:val="00C43C6F"/>
    <w:rsid w:val="00C475A2"/>
    <w:rsid w:val="00C53850"/>
    <w:rsid w:val="00C53CFB"/>
    <w:rsid w:val="00C5456B"/>
    <w:rsid w:val="00C562A9"/>
    <w:rsid w:val="00C5736D"/>
    <w:rsid w:val="00C57D95"/>
    <w:rsid w:val="00C65928"/>
    <w:rsid w:val="00C7014A"/>
    <w:rsid w:val="00C75273"/>
    <w:rsid w:val="00C761E7"/>
    <w:rsid w:val="00C77CA5"/>
    <w:rsid w:val="00C77DB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B63F6"/>
    <w:rsid w:val="00CC788E"/>
    <w:rsid w:val="00CD1389"/>
    <w:rsid w:val="00CD3A99"/>
    <w:rsid w:val="00CD408F"/>
    <w:rsid w:val="00CD46E0"/>
    <w:rsid w:val="00CD58CF"/>
    <w:rsid w:val="00CE3C32"/>
    <w:rsid w:val="00CE48C7"/>
    <w:rsid w:val="00CF40F3"/>
    <w:rsid w:val="00CF4B59"/>
    <w:rsid w:val="00CF5B6D"/>
    <w:rsid w:val="00CF644A"/>
    <w:rsid w:val="00CF6D7C"/>
    <w:rsid w:val="00D03D3C"/>
    <w:rsid w:val="00D06FF8"/>
    <w:rsid w:val="00D10DF2"/>
    <w:rsid w:val="00D15E56"/>
    <w:rsid w:val="00D1612C"/>
    <w:rsid w:val="00D16290"/>
    <w:rsid w:val="00D162FA"/>
    <w:rsid w:val="00D168DD"/>
    <w:rsid w:val="00D205FF"/>
    <w:rsid w:val="00D23E0D"/>
    <w:rsid w:val="00D2626D"/>
    <w:rsid w:val="00D32648"/>
    <w:rsid w:val="00D34BFF"/>
    <w:rsid w:val="00D417CC"/>
    <w:rsid w:val="00D43BBF"/>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11AD"/>
    <w:rsid w:val="00D81BC3"/>
    <w:rsid w:val="00D82273"/>
    <w:rsid w:val="00D82379"/>
    <w:rsid w:val="00D874E6"/>
    <w:rsid w:val="00D91FBB"/>
    <w:rsid w:val="00D9263A"/>
    <w:rsid w:val="00D94BC0"/>
    <w:rsid w:val="00DA3CE5"/>
    <w:rsid w:val="00DA48E1"/>
    <w:rsid w:val="00DB0D05"/>
    <w:rsid w:val="00DB1953"/>
    <w:rsid w:val="00DB3B93"/>
    <w:rsid w:val="00DB7520"/>
    <w:rsid w:val="00DC1D0F"/>
    <w:rsid w:val="00DC4321"/>
    <w:rsid w:val="00DD153E"/>
    <w:rsid w:val="00DD2C6F"/>
    <w:rsid w:val="00DD45CF"/>
    <w:rsid w:val="00DE009D"/>
    <w:rsid w:val="00DE45D1"/>
    <w:rsid w:val="00DF1C4D"/>
    <w:rsid w:val="00DF28D9"/>
    <w:rsid w:val="00DF6112"/>
    <w:rsid w:val="00DF6760"/>
    <w:rsid w:val="00E0008D"/>
    <w:rsid w:val="00E016D8"/>
    <w:rsid w:val="00E03D99"/>
    <w:rsid w:val="00E048AE"/>
    <w:rsid w:val="00E06D28"/>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F04056"/>
    <w:rsid w:val="00F07135"/>
    <w:rsid w:val="00F07E6A"/>
    <w:rsid w:val="00F10D6E"/>
    <w:rsid w:val="00F1490A"/>
    <w:rsid w:val="00F16EEB"/>
    <w:rsid w:val="00F2090E"/>
    <w:rsid w:val="00F213F7"/>
    <w:rsid w:val="00F33B8D"/>
    <w:rsid w:val="00F34D85"/>
    <w:rsid w:val="00F365B1"/>
    <w:rsid w:val="00F36DC0"/>
    <w:rsid w:val="00F445B0"/>
    <w:rsid w:val="00F52461"/>
    <w:rsid w:val="00F55C60"/>
    <w:rsid w:val="00F5673F"/>
    <w:rsid w:val="00F61363"/>
    <w:rsid w:val="00F62C5A"/>
    <w:rsid w:val="00F65697"/>
    <w:rsid w:val="00F667E1"/>
    <w:rsid w:val="00F66CCE"/>
    <w:rsid w:val="00F7132C"/>
    <w:rsid w:val="00F733A6"/>
    <w:rsid w:val="00F76262"/>
    <w:rsid w:val="00F7755E"/>
    <w:rsid w:val="00F86306"/>
    <w:rsid w:val="00F903C9"/>
    <w:rsid w:val="00F906A3"/>
    <w:rsid w:val="00F90D0C"/>
    <w:rsid w:val="00F952D2"/>
    <w:rsid w:val="00F96005"/>
    <w:rsid w:val="00F97B72"/>
    <w:rsid w:val="00FA2C0A"/>
    <w:rsid w:val="00FA3149"/>
    <w:rsid w:val="00FA4E4F"/>
    <w:rsid w:val="00FA72EA"/>
    <w:rsid w:val="00FB1444"/>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3BF2"/>
    <w:rsid w:val="00FF557D"/>
    <w:rsid w:val="00FF7971"/>
    <w:rsid w:val="01AF13D3"/>
    <w:rsid w:val="085B349E"/>
    <w:rsid w:val="09E20C6C"/>
    <w:rsid w:val="2FD43BE6"/>
    <w:rsid w:val="3259156B"/>
    <w:rsid w:val="37413786"/>
    <w:rsid w:val="3F8954F4"/>
    <w:rsid w:val="4FF30770"/>
    <w:rsid w:val="53EB6657"/>
    <w:rsid w:val="576D73E2"/>
    <w:rsid w:val="5B543DA8"/>
    <w:rsid w:val="631B2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4"/>
    <w:link w:val="23"/>
    <w:qFormat/>
    <w:uiPriority w:val="0"/>
    <w:pPr>
      <w:keepNext/>
      <w:keepLines/>
      <w:widowControl/>
      <w:spacing w:before="260" w:after="260" w:line="416" w:lineRule="auto"/>
      <w:jc w:val="left"/>
      <w:outlineLvl w:val="1"/>
    </w:pPr>
    <w:rPr>
      <w:rFonts w:ascii="Arial" w:hAnsi="Arial" w:eastAsia="黑体" w:cs="Times New Roman"/>
      <w:b/>
      <w:kern w:val="0"/>
      <w:sz w:val="32"/>
      <w:szCs w:val="2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eastAsia="宋体" w:cs="Times New Roman"/>
      <w:kern w:val="0"/>
      <w:sz w:val="24"/>
      <w:szCs w:val="24"/>
    </w:rPr>
  </w:style>
  <w:style w:type="paragraph" w:styleId="5">
    <w:name w:val="Document Map"/>
    <w:basedOn w:val="1"/>
    <w:link w:val="34"/>
    <w:semiHidden/>
    <w:qFormat/>
    <w:uiPriority w:val="0"/>
    <w:pPr>
      <w:shd w:val="clear" w:color="auto" w:fill="000080"/>
    </w:pPr>
    <w:rPr>
      <w:rFonts w:ascii="Times New Roman" w:hAnsi="Times New Roman" w:eastAsia="宋体" w:cs="Times New Roman"/>
      <w:kern w:val="0"/>
      <w:sz w:val="24"/>
      <w:szCs w:val="24"/>
    </w:rPr>
  </w:style>
  <w:style w:type="paragraph" w:styleId="6">
    <w:name w:val="Body Text"/>
    <w:basedOn w:val="1"/>
    <w:link w:val="29"/>
    <w:qFormat/>
    <w:uiPriority w:val="0"/>
    <w:rPr>
      <w:rFonts w:ascii="Times New Roman" w:hAnsi="Times New Roman" w:eastAsia="宋体" w:cs="Times New Roman"/>
      <w:kern w:val="0"/>
      <w:szCs w:val="24"/>
    </w:rPr>
  </w:style>
  <w:style w:type="paragraph" w:styleId="7">
    <w:name w:val="Body Text Indent"/>
    <w:basedOn w:val="1"/>
    <w:link w:val="28"/>
    <w:qFormat/>
    <w:uiPriority w:val="0"/>
    <w:pPr>
      <w:ind w:firstLine="555"/>
    </w:pPr>
    <w:rPr>
      <w:rFonts w:ascii="Times New Roman" w:hAnsi="Times New Roman" w:eastAsia="宋体" w:cs="Times New Roman"/>
      <w:kern w:val="0"/>
      <w:sz w:val="24"/>
      <w:szCs w:val="24"/>
    </w:rPr>
  </w:style>
  <w:style w:type="paragraph" w:styleId="8">
    <w:name w:val="Plain Text"/>
    <w:basedOn w:val="1"/>
    <w:link w:val="35"/>
    <w:qFormat/>
    <w:uiPriority w:val="0"/>
    <w:rPr>
      <w:rFonts w:ascii="宋体" w:hAnsi="Courier New" w:eastAsia="宋体" w:cs="Courier New"/>
      <w:sz w:val="24"/>
      <w:szCs w:val="21"/>
    </w:rPr>
  </w:style>
  <w:style w:type="paragraph" w:styleId="9">
    <w:name w:val="Body Text Indent 2"/>
    <w:basedOn w:val="1"/>
    <w:link w:val="27"/>
    <w:qFormat/>
    <w:uiPriority w:val="0"/>
    <w:pPr>
      <w:spacing w:line="540" w:lineRule="exact"/>
      <w:ind w:firstLine="630"/>
    </w:pPr>
    <w:rPr>
      <w:rFonts w:ascii="Times New Roman" w:hAnsi="Times New Roman" w:eastAsia="宋体" w:cs="Times New Roman"/>
      <w:kern w:val="0"/>
      <w:sz w:val="24"/>
      <w:szCs w:val="24"/>
    </w:rPr>
  </w:style>
  <w:style w:type="paragraph" w:styleId="10">
    <w:name w:val="Balloon Text"/>
    <w:basedOn w:val="1"/>
    <w:link w:val="36"/>
    <w:semiHidden/>
    <w:qFormat/>
    <w:uiPriority w:val="0"/>
    <w:rPr>
      <w:rFonts w:ascii="Times New Roman" w:hAnsi="Times New Roman" w:eastAsia="宋体" w:cs="Times New Roman"/>
      <w:kern w:val="0"/>
      <w:sz w:val="18"/>
      <w:szCs w:val="18"/>
    </w:rPr>
  </w:style>
  <w:style w:type="paragraph" w:styleId="11">
    <w:name w:val="footer"/>
    <w:basedOn w:val="1"/>
    <w:link w:val="25"/>
    <w:qFormat/>
    <w:uiPriority w:val="0"/>
    <w:pPr>
      <w:tabs>
        <w:tab w:val="center" w:pos="4153"/>
        <w:tab w:val="right" w:pos="8306"/>
      </w:tabs>
      <w:snapToGrid w:val="0"/>
      <w:jc w:val="left"/>
    </w:pPr>
    <w:rPr>
      <w:rFonts w:ascii="Times New Roman" w:hAnsi="Times New Roman" w:eastAsia="宋体" w:cs="Times New Roman"/>
      <w:kern w:val="0"/>
      <w:sz w:val="18"/>
      <w:szCs w:val="18"/>
    </w:rPr>
  </w:style>
  <w:style w:type="paragraph" w:styleId="12">
    <w:name w:val="header"/>
    <w:basedOn w:val="1"/>
    <w:link w:val="24"/>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13">
    <w:name w:val="toc 1"/>
    <w:basedOn w:val="1"/>
    <w:next w:val="1"/>
    <w:qFormat/>
    <w:uiPriority w:val="39"/>
    <w:pPr>
      <w:tabs>
        <w:tab w:val="right" w:leader="dot" w:pos="8658"/>
      </w:tabs>
      <w:ind w:left="935" w:leftChars="400"/>
    </w:pPr>
    <w:rPr>
      <w:rFonts w:ascii="Times New Roman" w:hAnsi="Times New Roman" w:eastAsia="宋体" w:cs="Times New Roman"/>
      <w:kern w:val="0"/>
      <w:sz w:val="24"/>
      <w:szCs w:val="24"/>
    </w:rPr>
  </w:style>
  <w:style w:type="paragraph" w:styleId="14">
    <w:name w:val="toc 2"/>
    <w:basedOn w:val="1"/>
    <w:next w:val="1"/>
    <w:unhideWhenUsed/>
    <w:qFormat/>
    <w:uiPriority w:val="39"/>
    <w:pPr>
      <w:ind w:left="420" w:leftChars="200"/>
    </w:pPr>
  </w:style>
  <w:style w:type="paragraph" w:styleId="15">
    <w:name w:val="Body Text 2"/>
    <w:basedOn w:val="1"/>
    <w:link w:val="30"/>
    <w:qFormat/>
    <w:uiPriority w:val="0"/>
    <w:pPr>
      <w:jc w:val="center"/>
    </w:pPr>
    <w:rPr>
      <w:rFonts w:ascii="Times New Roman" w:hAnsi="Times New Roman" w:eastAsia="宋体" w:cs="Times New Roman"/>
      <w:kern w:val="0"/>
      <w:szCs w:val="24"/>
    </w:rPr>
  </w:style>
  <w:style w:type="paragraph" w:styleId="16">
    <w:name w:val="index 1"/>
    <w:basedOn w:val="1"/>
    <w:next w:val="1"/>
    <w:semiHidden/>
    <w:qFormat/>
    <w:uiPriority w:val="0"/>
    <w:rPr>
      <w:rFonts w:ascii="Times New Roman" w:hAnsi="Times New Roman" w:eastAsia="宋体" w:cs="Times New Roman"/>
      <w:kern w:val="0"/>
      <w:sz w:val="24"/>
      <w:szCs w:val="24"/>
    </w:rPr>
  </w:style>
  <w:style w:type="table" w:styleId="18">
    <w:name w:val="Table Grid"/>
    <w:basedOn w:val="17"/>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0">
    <w:name w:val="page number"/>
    <w:basedOn w:val="19"/>
    <w:qFormat/>
    <w:uiPriority w:val="0"/>
    <w:rPr>
      <w:rFonts w:cs="Times New Roman"/>
    </w:rPr>
  </w:style>
  <w:style w:type="character" w:styleId="21">
    <w:name w:val="Hyperlink"/>
    <w:basedOn w:val="19"/>
    <w:qFormat/>
    <w:uiPriority w:val="99"/>
    <w:rPr>
      <w:rFonts w:cs="Times New Roman"/>
      <w:color w:val="0000FF"/>
      <w:u w:val="single"/>
    </w:rPr>
  </w:style>
  <w:style w:type="character" w:customStyle="1" w:styleId="22">
    <w:name w:val="标题 1 Char"/>
    <w:basedOn w:val="19"/>
    <w:link w:val="2"/>
    <w:qFormat/>
    <w:uiPriority w:val="0"/>
    <w:rPr>
      <w:rFonts w:ascii="Times New Roman" w:hAnsi="Times New Roman" w:eastAsia="宋体" w:cs="Times New Roman"/>
      <w:b/>
      <w:bCs/>
      <w:kern w:val="44"/>
      <w:sz w:val="44"/>
      <w:szCs w:val="44"/>
    </w:rPr>
  </w:style>
  <w:style w:type="character" w:customStyle="1" w:styleId="23">
    <w:name w:val="标题 2 Char"/>
    <w:basedOn w:val="19"/>
    <w:link w:val="3"/>
    <w:qFormat/>
    <w:uiPriority w:val="0"/>
    <w:rPr>
      <w:rFonts w:ascii="Arial" w:hAnsi="Arial" w:eastAsia="黑体" w:cs="Times New Roman"/>
      <w:b/>
      <w:kern w:val="0"/>
      <w:sz w:val="32"/>
      <w:szCs w:val="20"/>
    </w:rPr>
  </w:style>
  <w:style w:type="character" w:customStyle="1" w:styleId="24">
    <w:name w:val="页眉 Char"/>
    <w:basedOn w:val="19"/>
    <w:link w:val="12"/>
    <w:qFormat/>
    <w:uiPriority w:val="0"/>
    <w:rPr>
      <w:rFonts w:ascii="Times New Roman" w:hAnsi="Times New Roman" w:eastAsia="宋体" w:cs="Times New Roman"/>
      <w:kern w:val="0"/>
      <w:sz w:val="18"/>
      <w:szCs w:val="18"/>
    </w:rPr>
  </w:style>
  <w:style w:type="character" w:customStyle="1" w:styleId="25">
    <w:name w:val="页脚 Char"/>
    <w:basedOn w:val="19"/>
    <w:link w:val="11"/>
    <w:qFormat/>
    <w:uiPriority w:val="0"/>
    <w:rPr>
      <w:rFonts w:ascii="Times New Roman" w:hAnsi="Times New Roman" w:eastAsia="宋体" w:cs="Times New Roman"/>
      <w:kern w:val="0"/>
      <w:sz w:val="18"/>
      <w:szCs w:val="18"/>
    </w:rPr>
  </w:style>
  <w:style w:type="paragraph" w:customStyle="1" w:styleId="26">
    <w:name w:val="正文文字缩进"/>
    <w:qFormat/>
    <w:uiPriority w:val="0"/>
    <w:pPr>
      <w:spacing w:line="351" w:lineRule="atLeast"/>
      <w:ind w:firstLine="555"/>
      <w:textAlignment w:val="baseline"/>
    </w:pPr>
    <w:rPr>
      <w:rFonts w:ascii="Times New Roman" w:hAnsi="Times New Roman" w:eastAsia="宋体" w:cs="Times New Roman"/>
      <w:color w:val="000000"/>
      <w:sz w:val="28"/>
      <w:u w:color="000000"/>
      <w:lang w:val="en-US" w:eastAsia="zh-CN" w:bidi="ar-SA"/>
    </w:rPr>
  </w:style>
  <w:style w:type="character" w:customStyle="1" w:styleId="27">
    <w:name w:val="正文文本缩进 2 Char"/>
    <w:basedOn w:val="19"/>
    <w:link w:val="9"/>
    <w:qFormat/>
    <w:uiPriority w:val="0"/>
    <w:rPr>
      <w:rFonts w:ascii="Times New Roman" w:hAnsi="Times New Roman" w:eastAsia="宋体" w:cs="Times New Roman"/>
      <w:kern w:val="0"/>
      <w:sz w:val="24"/>
      <w:szCs w:val="24"/>
    </w:rPr>
  </w:style>
  <w:style w:type="character" w:customStyle="1" w:styleId="28">
    <w:name w:val="正文文本缩进 Char"/>
    <w:basedOn w:val="19"/>
    <w:link w:val="7"/>
    <w:qFormat/>
    <w:uiPriority w:val="0"/>
    <w:rPr>
      <w:rFonts w:ascii="Times New Roman" w:hAnsi="Times New Roman" w:eastAsia="宋体" w:cs="Times New Roman"/>
      <w:kern w:val="0"/>
      <w:sz w:val="24"/>
      <w:szCs w:val="24"/>
    </w:rPr>
  </w:style>
  <w:style w:type="character" w:customStyle="1" w:styleId="29">
    <w:name w:val="正文文本 Char"/>
    <w:basedOn w:val="19"/>
    <w:link w:val="6"/>
    <w:qFormat/>
    <w:uiPriority w:val="0"/>
    <w:rPr>
      <w:rFonts w:ascii="Times New Roman" w:hAnsi="Times New Roman" w:eastAsia="宋体" w:cs="Times New Roman"/>
      <w:kern w:val="0"/>
      <w:szCs w:val="24"/>
    </w:rPr>
  </w:style>
  <w:style w:type="character" w:customStyle="1" w:styleId="30">
    <w:name w:val="正文文本 2 Char"/>
    <w:basedOn w:val="19"/>
    <w:link w:val="15"/>
    <w:qFormat/>
    <w:uiPriority w:val="0"/>
    <w:rPr>
      <w:rFonts w:ascii="Times New Roman" w:hAnsi="Times New Roman" w:eastAsia="宋体" w:cs="Times New Roman"/>
      <w:kern w:val="0"/>
      <w:szCs w:val="24"/>
    </w:rPr>
  </w:style>
  <w:style w:type="paragraph" w:customStyle="1" w:styleId="31">
    <w:name w:val="样式1"/>
    <w:basedOn w:val="2"/>
    <w:qFormat/>
    <w:uiPriority w:val="0"/>
    <w:pPr>
      <w:spacing w:line="640" w:lineRule="exact"/>
      <w:jc w:val="center"/>
    </w:pPr>
    <w:rPr>
      <w:rFonts w:ascii="方正小标宋简体" w:hAnsi="华文中宋" w:eastAsia="方正小标宋简体"/>
      <w:b w:val="0"/>
    </w:rPr>
  </w:style>
  <w:style w:type="paragraph" w:customStyle="1" w:styleId="32">
    <w:name w:val="样式2"/>
    <w:basedOn w:val="2"/>
    <w:qFormat/>
    <w:uiPriority w:val="0"/>
    <w:pPr>
      <w:spacing w:line="640" w:lineRule="exact"/>
      <w:jc w:val="center"/>
    </w:pPr>
    <w:rPr>
      <w:rFonts w:ascii="方正小标宋简体" w:hAnsi="华文中宋" w:eastAsia="方正小标宋简体"/>
      <w:b w:val="0"/>
    </w:rPr>
  </w:style>
  <w:style w:type="paragraph" w:customStyle="1" w:styleId="33">
    <w:name w:val="样式3"/>
    <w:basedOn w:val="2"/>
    <w:qFormat/>
    <w:uiPriority w:val="0"/>
    <w:pPr>
      <w:spacing w:line="640" w:lineRule="exact"/>
      <w:jc w:val="center"/>
    </w:pPr>
    <w:rPr>
      <w:rFonts w:ascii="方正小标宋简体" w:hAnsi="华文中宋" w:eastAsia="方正小标宋简体"/>
      <w:b w:val="0"/>
    </w:rPr>
  </w:style>
  <w:style w:type="character" w:customStyle="1" w:styleId="34">
    <w:name w:val="文档结构图 Char"/>
    <w:basedOn w:val="19"/>
    <w:link w:val="5"/>
    <w:semiHidden/>
    <w:qFormat/>
    <w:uiPriority w:val="0"/>
    <w:rPr>
      <w:rFonts w:ascii="Times New Roman" w:hAnsi="Times New Roman" w:eastAsia="宋体" w:cs="Times New Roman"/>
      <w:kern w:val="0"/>
      <w:sz w:val="24"/>
      <w:szCs w:val="24"/>
      <w:shd w:val="clear" w:color="auto" w:fill="000080"/>
    </w:rPr>
  </w:style>
  <w:style w:type="character" w:customStyle="1" w:styleId="35">
    <w:name w:val="纯文本 Char"/>
    <w:basedOn w:val="19"/>
    <w:link w:val="8"/>
    <w:qFormat/>
    <w:uiPriority w:val="0"/>
    <w:rPr>
      <w:rFonts w:ascii="宋体" w:hAnsi="Courier New" w:eastAsia="宋体" w:cs="Courier New"/>
      <w:sz w:val="24"/>
      <w:szCs w:val="21"/>
    </w:rPr>
  </w:style>
  <w:style w:type="character" w:customStyle="1" w:styleId="36">
    <w:name w:val="批注框文本 Char"/>
    <w:basedOn w:val="19"/>
    <w:link w:val="10"/>
    <w:semiHidden/>
    <w:qFormat/>
    <w:uiPriority w:val="0"/>
    <w:rPr>
      <w:rFonts w:ascii="Times New Roman" w:hAnsi="Times New Roman" w:eastAsia="宋体" w:cs="Times New Roman"/>
      <w:kern w:val="0"/>
      <w:sz w:val="18"/>
      <w:szCs w:val="18"/>
    </w:rPr>
  </w:style>
  <w:style w:type="paragraph" w:customStyle="1" w:styleId="37">
    <w:name w:val="列出段落1"/>
    <w:basedOn w:val="1"/>
    <w:link w:val="41"/>
    <w:qFormat/>
    <w:uiPriority w:val="0"/>
    <w:pPr>
      <w:widowControl/>
      <w:ind w:left="720" w:firstLine="360"/>
      <w:jc w:val="left"/>
    </w:pPr>
    <w:rPr>
      <w:rFonts w:ascii="Calibri" w:hAnsi="Calibri" w:eastAsia="宋体" w:cs="Times New Roman"/>
      <w:kern w:val="0"/>
      <w:sz w:val="22"/>
      <w:szCs w:val="20"/>
      <w:lang w:eastAsia="en-US"/>
    </w:rPr>
  </w:style>
  <w:style w:type="paragraph" w:customStyle="1" w:styleId="38">
    <w:name w:val="1111111199999"/>
    <w:basedOn w:val="1"/>
    <w:link w:val="39"/>
    <w:qFormat/>
    <w:uiPriority w:val="0"/>
    <w:pPr>
      <w:widowControl/>
      <w:spacing w:beforeLines="50" w:line="240" w:lineRule="exact"/>
      <w:ind w:firstLine="514" w:firstLineChars="214"/>
      <w:jc w:val="left"/>
    </w:pPr>
    <w:rPr>
      <w:rFonts w:ascii="Times New Roman" w:hAnsi="Times New Roman" w:eastAsia="宋体" w:cs="Times New Roman"/>
      <w:kern w:val="0"/>
      <w:szCs w:val="20"/>
    </w:rPr>
  </w:style>
  <w:style w:type="character" w:customStyle="1" w:styleId="39">
    <w:name w:val="1111111199999 Char"/>
    <w:link w:val="38"/>
    <w:qFormat/>
    <w:locked/>
    <w:uiPriority w:val="0"/>
    <w:rPr>
      <w:rFonts w:ascii="Times New Roman" w:hAnsi="Times New Roman" w:eastAsia="宋体" w:cs="Times New Roman"/>
      <w:kern w:val="0"/>
      <w:szCs w:val="20"/>
    </w:rPr>
  </w:style>
  <w:style w:type="character" w:customStyle="1" w:styleId="40">
    <w:name w:val="apple-style-span"/>
    <w:qFormat/>
    <w:uiPriority w:val="0"/>
  </w:style>
  <w:style w:type="character" w:customStyle="1" w:styleId="41">
    <w:name w:val="List Paragraph Char"/>
    <w:link w:val="37"/>
    <w:qFormat/>
    <w:locked/>
    <w:uiPriority w:val="0"/>
    <w:rPr>
      <w:rFonts w:ascii="Calibri" w:hAnsi="Calibri" w:eastAsia="宋体" w:cs="Times New Roman"/>
      <w:kern w:val="0"/>
      <w:sz w:val="22"/>
      <w:szCs w:val="20"/>
      <w:lang w:eastAsia="en-US"/>
    </w:rPr>
  </w:style>
  <w:style w:type="paragraph" w:customStyle="1" w:styleId="42">
    <w:name w:val="Char Char Char Char"/>
    <w:basedOn w:val="1"/>
    <w:qFormat/>
    <w:uiPriority w:val="0"/>
    <w:rPr>
      <w:rFonts w:ascii="Times New Roman" w:hAnsi="Times New Roman" w:eastAsia="宋体" w:cs="Times New Roman"/>
      <w:sz w:val="24"/>
      <w:szCs w:val="36"/>
    </w:rPr>
  </w:style>
  <w:style w:type="character" w:customStyle="1" w:styleId="43">
    <w:name w:val="Char Char4"/>
    <w:qFormat/>
    <w:locked/>
    <w:uiPriority w:val="0"/>
    <w:rPr>
      <w:rFonts w:ascii="宋体" w:hAnsi="Courier New" w:eastAsia="宋体"/>
      <w:kern w:val="2"/>
      <w:sz w:val="21"/>
      <w:lang w:bidi="ar-SA"/>
    </w:rPr>
  </w:style>
  <w:style w:type="character" w:customStyle="1" w:styleId="44">
    <w:name w:val="样式 (中文) 仿宋_GB2312 三号"/>
    <w:basedOn w:val="19"/>
    <w:qFormat/>
    <w:uiPriority w:val="0"/>
    <w:rPr>
      <w:rFonts w:hint="eastAsia" w:ascii="仿宋_GB2312" w:eastAsia="仿宋_GB2312"/>
      <w:sz w:val="32"/>
    </w:rPr>
  </w:style>
  <w:style w:type="character" w:customStyle="1" w:styleId="45">
    <w:name w:val="Char Char3"/>
    <w:basedOn w:val="19"/>
    <w:locked/>
    <w:uiPriority w:val="0"/>
    <w:rPr>
      <w:rFonts w:ascii="宋体" w:hAnsi="宋体" w:eastAsia="宋体"/>
      <w:sz w:val="18"/>
      <w:szCs w:val="18"/>
      <w:lang w:val="en-US" w:eastAsia="zh-CN" w:bidi="ar-SA"/>
    </w:rPr>
  </w:style>
  <w:style w:type="paragraph" w:styleId="46">
    <w:name w:val="List Paragraph"/>
    <w:basedOn w:val="1"/>
    <w:qFormat/>
    <w:uiPriority w:val="34"/>
    <w:pPr>
      <w:ind w:firstLine="420" w:firstLineChars="200"/>
    </w:pPr>
    <w:rPr>
      <w:rFonts w:ascii="等线" w:hAnsi="等线" w:eastAsia="等线"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E67327-83E0-4B5B-934B-2388B3B792D4}">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61</Pages>
  <Words>4994</Words>
  <Characters>28469</Characters>
  <Lines>237</Lines>
  <Paragraphs>66</Paragraphs>
  <TotalTime>0</TotalTime>
  <ScaleCrop>false</ScaleCrop>
  <LinksUpToDate>false</LinksUpToDate>
  <CharactersWithSpaces>33397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2020-03-30T02:20:00Z</dcterms:created>
  <dc:creator>Administrator</dc:creator>
  <cp:lastModifiedBy>150----7325</cp:lastModifiedBy>
  <cp:lastPrinted>2020-06-09T08:36:00Z</cp:lastPrinted>
  <dcterms:modified xsi:type="dcterms:W3CDTF">2020-11-23T08:11:15Z</dcterms:modified>
  <cp:revision>223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