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精准血药浓度采集系统</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2020-JL13（03）-W30024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关于精准血药浓度采集系统采购</w:t>
      </w:r>
      <w:r>
        <w:rPr>
          <w:rFonts w:hint="eastAsia" w:ascii="Tahoma" w:hAnsi="Tahoma" w:cs="Tahoma"/>
          <w:b/>
          <w:bCs/>
          <w:kern w:val="0"/>
          <w:sz w:val="28"/>
          <w:szCs w:val="28"/>
          <w:lang w:eastAsia="zh-CN"/>
        </w:rPr>
        <w:t>的再次</w:t>
      </w:r>
      <w:r>
        <w:rPr>
          <w:rFonts w:ascii="Tahoma" w:hAnsi="Tahoma" w:cs="Tahoma"/>
          <w:b/>
          <w:bCs/>
          <w:kern w:val="0"/>
          <w:sz w:val="28"/>
          <w:szCs w:val="28"/>
        </w:rPr>
        <w:t>公告</w:t>
      </w:r>
      <w:r>
        <w:rPr>
          <w:rFonts w:hint="eastAsia" w:ascii="Tahoma" w:hAnsi="Tahoma" w:cs="Tahoma"/>
          <w:b/>
          <w:bCs/>
          <w:kern w:val="0"/>
          <w:sz w:val="28"/>
          <w:szCs w:val="28"/>
        </w:rPr>
        <w:t>2020-JL13（03）-W30024</w:t>
      </w:r>
    </w:p>
    <w:p>
      <w:pPr>
        <w:spacing w:line="360" w:lineRule="exact"/>
        <w:ind w:firstLine="462" w:firstLineChars="200"/>
        <w:rPr>
          <w:rFonts w:ascii="宋体" w:hAnsi="宋体" w:eastAsia="宋体" w:cs="Times New Roman"/>
          <w:kern w:val="0"/>
          <w:sz w:val="24"/>
          <w:szCs w:val="24"/>
        </w:rPr>
      </w:pPr>
    </w:p>
    <w:p>
      <w:pPr>
        <w:spacing w:line="440" w:lineRule="exact"/>
        <w:ind w:left="458" w:leftChars="228" w:firstLine="462" w:firstLineChars="200"/>
        <w:rPr>
          <w:rFonts w:hint="eastAsia" w:ascii="宋体" w:hAnsi="宋体" w:eastAsia="宋体" w:cs="Times New Roman"/>
          <w:kern w:val="0"/>
          <w:sz w:val="24"/>
          <w:szCs w:val="24"/>
        </w:rPr>
      </w:pPr>
      <w:r>
        <w:rPr>
          <w:rFonts w:hint="eastAsia" w:cs="Times New Roman" w:asciiTheme="minorEastAsia" w:hAnsiTheme="minorEastAsia"/>
          <w:kern w:val="0"/>
          <w:sz w:val="24"/>
          <w:szCs w:val="24"/>
          <w:lang w:val="en-US" w:eastAsia="zh-CN"/>
        </w:rPr>
        <w:t>我院</w:t>
      </w:r>
      <w:r>
        <w:rPr>
          <w:rFonts w:hint="eastAsia" w:ascii="宋体" w:hAnsi="宋体" w:eastAsia="宋体" w:cs="Times New Roman"/>
          <w:kern w:val="0"/>
          <w:sz w:val="24"/>
          <w:szCs w:val="24"/>
        </w:rPr>
        <w:t>精准血药浓度采集系统</w:t>
      </w:r>
      <w:r>
        <w:rPr>
          <w:rFonts w:hint="eastAsia" w:cs="Times New Roman" w:asciiTheme="minorEastAsia" w:hAnsiTheme="minorEastAsia"/>
          <w:kern w:val="0"/>
          <w:sz w:val="24"/>
          <w:szCs w:val="24"/>
          <w:lang w:val="en-US" w:eastAsia="zh-CN"/>
        </w:rPr>
        <w:t>采购项目经网上公告，至报名截止时间为止合格报名供应商不足三家，特此再次公告，</w:t>
      </w:r>
      <w:bookmarkStart w:id="45" w:name="_GoBack"/>
      <w:bookmarkEnd w:id="45"/>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精准血药浓度采集系统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2020-JL13（03）-W30024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精准血药浓度采集系统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预算</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hint="eastAsia" w:ascii="宋体" w:hAnsi="宋体" w:eastAsia="宋体" w:cs="Times New Roman"/>
                <w:sz w:val="24"/>
                <w:szCs w:val="24"/>
              </w:rPr>
              <w:t>人民币小写：¥300,000.00元整      大写：叁拾万元整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2020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11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0</w:t>
      </w:r>
      <w:r>
        <w:rPr>
          <w:rFonts w:hint="eastAsia" w:ascii="宋体" w:hAnsi="宋体" w:eastAsia="宋体" w:cs="Times New Roman"/>
          <w:kern w:val="0"/>
          <w:sz w:val="24"/>
          <w:szCs w:val="24"/>
        </w:rPr>
        <w:t>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0</w:t>
      </w:r>
      <w:r>
        <w:rPr>
          <w:rFonts w:hint="eastAsia" w:ascii="宋体" w:hAnsi="宋体" w:eastAsia="宋体" w:cs="Times New Roman"/>
          <w:kern w:val="0"/>
          <w:sz w:val="24"/>
          <w:szCs w:val="24"/>
        </w:rPr>
        <w:t>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w:t>
      </w:r>
      <w:r>
        <w:rPr>
          <w:rFonts w:hint="eastAsia" w:ascii="宋体" w:hAnsi="宋体" w:eastAsia="宋体" w:cs="Times New Roman"/>
          <w:kern w:val="0"/>
          <w:sz w:val="24"/>
          <w:szCs w:val="24"/>
          <w:lang w:val="en-US" w:eastAsia="zh-CN"/>
        </w:rPr>
        <w:t>200</w:t>
      </w:r>
      <w:r>
        <w:rPr>
          <w:rFonts w:hint="eastAsia" w:ascii="宋体" w:hAnsi="宋体" w:eastAsia="宋体" w:cs="Times New Roman"/>
          <w:kern w:val="0"/>
          <w:sz w:val="24"/>
          <w:szCs w:val="24"/>
        </w:rPr>
        <w:t>/元/份，售后不退。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289"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43485652"/>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精准血药浓度采集系统</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0.5</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2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5</w:t>
      </w:r>
      <w:r>
        <w:rPr>
          <w:rFonts w:hint="eastAsia" w:cs="Arial" w:asciiTheme="minorEastAsia" w:hAnsiTheme="minorEastAsia"/>
          <w:sz w:val="24"/>
          <w:szCs w:val="24"/>
        </w:rPr>
        <w:t>.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43485653"/>
      <w:bookmarkStart w:id="11" w:name="_Toc285612601"/>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49"/>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43485654"/>
      <w:bookmarkStart w:id="16" w:name="_Toc37172690"/>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206"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189"/>
      <w:bookmarkStart w:id="23" w:name="_Toc39653413"/>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414"/>
      <w:bookmarkStart w:id="25" w:name="_Toc39653190"/>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192"/>
      <w:bookmarkStart w:id="29" w:name="_Toc39653416"/>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193"/>
      <w:bookmarkStart w:id="31" w:name="_Toc39653417"/>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418"/>
      <w:bookmarkStart w:id="33" w:name="_Toc39653194"/>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390713970"/>
      <w:bookmarkStart w:id="35" w:name="_Toc435540982"/>
      <w:bookmarkStart w:id="36" w:name="_Toc43485655"/>
      <w:bookmarkStart w:id="37" w:name="_Toc37172691"/>
      <w:bookmarkStart w:id="38" w:name="_Toc285612604"/>
      <w:bookmarkStart w:id="39" w:name="_Toc240432233"/>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相应软件著作权或</w:t>
            </w:r>
            <w:r>
              <w:rPr>
                <w:rFonts w:ascii="宋体" w:hAnsi="宋体"/>
                <w:szCs w:val="21"/>
              </w:rPr>
              <w:t>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 xml:space="preserve">附件21    </w:t>
      </w:r>
    </w:p>
    <w:p>
      <w:pPr>
        <w:jc w:val="center"/>
        <w:rPr>
          <w:rFonts w:cs="Times New Roman" w:asciiTheme="minorEastAsia" w:hAnsiTheme="minorEastAsia"/>
          <w:b/>
          <w:szCs w:val="21"/>
        </w:rPr>
      </w:pPr>
      <w:r>
        <w:rPr>
          <w:rFonts w:hint="eastAsia" w:ascii="黑体" w:hAnsi="黑体" w:eastAsia="黑体" w:cs="Times New Roman"/>
          <w:kern w:val="0"/>
          <w:sz w:val="32"/>
          <w:szCs w:val="32"/>
        </w:rPr>
        <w:t>技术指标参数要求明细</w:t>
      </w:r>
    </w:p>
    <w:p>
      <w:pPr>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项目名称：精准血药浓度采集系统</w:t>
      </w:r>
    </w:p>
    <w:p>
      <w:pPr>
        <w:rPr>
          <w:rFonts w:cs="Times New Roman" w:asciiTheme="minorEastAsia" w:hAnsiTheme="minorEastAsia"/>
          <w:szCs w:val="21"/>
        </w:rPr>
      </w:pPr>
      <w:r>
        <w:rPr>
          <w:rFonts w:hint="eastAsia" w:cs="Times New Roman" w:asciiTheme="minorEastAsia" w:hAnsiTheme="minorEastAsia"/>
          <w:b/>
          <w:szCs w:val="21"/>
        </w:rPr>
        <w:t>一、招标内容一览表</w:t>
      </w:r>
    </w:p>
    <w:tbl>
      <w:tblPr>
        <w:tblStyle w:val="18"/>
        <w:tblpPr w:leftFromText="180" w:rightFromText="180" w:vertAnchor="text" w:horzAnchor="margin" w:tblpY="15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132"/>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513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内容</w:t>
            </w:r>
          </w:p>
        </w:tc>
        <w:tc>
          <w:tcPr>
            <w:tcW w:w="2580"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072" w:type="dxa"/>
            <w:vAlign w:val="center"/>
          </w:tcPr>
          <w:p>
            <w:pPr>
              <w:widowControl/>
              <w:numPr>
                <w:ilvl w:val="0"/>
                <w:numId w:val="2"/>
              </w:numPr>
              <w:topLinePunct/>
              <w:autoSpaceDE w:val="0"/>
              <w:adjustRightInd w:val="0"/>
              <w:spacing w:line="360" w:lineRule="auto"/>
              <w:jc w:val="center"/>
              <w:rPr>
                <w:rFonts w:cs="Times New Roman" w:asciiTheme="minorEastAsia" w:hAnsiTheme="minorEastAsia"/>
                <w:szCs w:val="21"/>
              </w:rPr>
            </w:pPr>
          </w:p>
        </w:tc>
        <w:tc>
          <w:tcPr>
            <w:tcW w:w="5132"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精准血药浓度采集系统</w:t>
            </w:r>
          </w:p>
        </w:tc>
        <w:tc>
          <w:tcPr>
            <w:tcW w:w="258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2" w:type="dxa"/>
            <w:vAlign w:val="center"/>
          </w:tcPr>
          <w:p>
            <w:pPr>
              <w:widowControl/>
              <w:numPr>
                <w:ilvl w:val="0"/>
                <w:numId w:val="2"/>
              </w:numPr>
              <w:tabs>
                <w:tab w:val="left" w:pos="720"/>
                <w:tab w:val="clear" w:pos="786"/>
              </w:tabs>
              <w:topLinePunct/>
              <w:autoSpaceDE w:val="0"/>
              <w:adjustRightInd w:val="0"/>
              <w:spacing w:line="360" w:lineRule="auto"/>
              <w:ind w:left="720"/>
              <w:jc w:val="center"/>
              <w:rPr>
                <w:rFonts w:cs="Times New Roman" w:asciiTheme="minorEastAsia" w:hAnsiTheme="minorEastAsia"/>
                <w:szCs w:val="21"/>
              </w:rPr>
            </w:pPr>
          </w:p>
        </w:tc>
        <w:tc>
          <w:tcPr>
            <w:tcW w:w="5132"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配套服务器</w:t>
            </w:r>
          </w:p>
        </w:tc>
        <w:tc>
          <w:tcPr>
            <w:tcW w:w="258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bl>
    <w:p>
      <w:pPr>
        <w:widowControl/>
        <w:topLinePunct/>
        <w:autoSpaceDE w:val="0"/>
        <w:adjustRightInd w:val="0"/>
        <w:spacing w:line="360" w:lineRule="auto"/>
        <w:rPr>
          <w:rFonts w:cs="宋体" w:asciiTheme="minorEastAsia" w:hAnsiTheme="minorEastAsia"/>
          <w:szCs w:val="21"/>
        </w:rPr>
      </w:pPr>
    </w:p>
    <w:p>
      <w:pPr>
        <w:widowControl/>
        <w:topLinePunct/>
        <w:autoSpaceDE w:val="0"/>
        <w:adjustRightInd w:val="0"/>
        <w:spacing w:line="360" w:lineRule="auto"/>
        <w:rPr>
          <w:rFonts w:cs="宋体" w:asciiTheme="minorEastAsia" w:hAnsiTheme="minorEastAsia"/>
          <w:szCs w:val="21"/>
        </w:rPr>
      </w:pPr>
      <w:r>
        <w:rPr>
          <w:rFonts w:hint="eastAsia" w:cs="宋体" w:asciiTheme="minorEastAsia" w:hAnsiTheme="minorEastAsia"/>
          <w:szCs w:val="21"/>
        </w:rPr>
        <w:t>二、项目总体要求</w:t>
      </w:r>
    </w:p>
    <w:tbl>
      <w:tblPr>
        <w:tblStyle w:val="53"/>
        <w:tblW w:w="87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60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序号</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要求</w:t>
            </w:r>
          </w:p>
        </w:tc>
        <w:tc>
          <w:tcPr>
            <w:tcW w:w="6092"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1</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工期</w:t>
            </w:r>
          </w:p>
        </w:tc>
        <w:tc>
          <w:tcPr>
            <w:tcW w:w="6092"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签订合同后</w:t>
            </w:r>
            <w:r>
              <w:rPr>
                <w:rFonts w:hint="eastAsia" w:cs="宋体" w:asciiTheme="minorEastAsia" w:hAnsiTheme="minorEastAsia" w:eastAsiaTheme="minorEastAsia"/>
                <w:kern w:val="0"/>
                <w:sz w:val="21"/>
                <w:szCs w:val="21"/>
                <w:u w:val="single"/>
              </w:rPr>
              <w:t xml:space="preserve"> 90 </w:t>
            </w:r>
            <w:r>
              <w:rPr>
                <w:rFonts w:hint="eastAsia" w:cs="宋体" w:asciiTheme="minorEastAsia" w:hAnsiTheme="minorEastAsia" w:eastAsiaTheme="minorEastAsia"/>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2</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售后服务</w:t>
            </w:r>
          </w:p>
        </w:tc>
        <w:tc>
          <w:tcPr>
            <w:tcW w:w="6092" w:type="dxa"/>
            <w:vAlign w:val="bottom"/>
          </w:tcPr>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所有软硬件，自验收合格日起提供为期3年以上的免费售后服务。</w:t>
            </w:r>
          </w:p>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电话咨询和远程服务：为甲方提供电话和远程技术援助服务，解答和远程处理甲方在使用系统中遇到的问题，及时提出解决问题的建议和操作方法。</w:t>
            </w:r>
          </w:p>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现场支持：甲方遇到使用及技术问题，电话咨询和远程均不能解决的，应当在4小时内到达现场进行处理，确保产品正常工作；无法在24小时内解决的，应该在24小时内提供备用硬件，使甲方能够正常使用。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3</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培训</w:t>
            </w:r>
          </w:p>
        </w:tc>
        <w:tc>
          <w:tcPr>
            <w:tcW w:w="6092" w:type="dxa"/>
            <w:vAlign w:val="bottom"/>
          </w:tcPr>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为甲方提供1名具备医学专业背景的培训人员，对全体使用人员进行使用培训。</w:t>
            </w:r>
          </w:p>
        </w:tc>
      </w:tr>
    </w:tbl>
    <w:p>
      <w:pPr>
        <w:widowControl/>
        <w:topLinePunct/>
        <w:autoSpaceDE w:val="0"/>
        <w:adjustRightInd w:val="0"/>
        <w:spacing w:line="360" w:lineRule="auto"/>
        <w:jc w:val="left"/>
        <w:rPr>
          <w:rFonts w:cs="Times New Roman" w:asciiTheme="minorEastAsia" w:hAnsiTheme="minorEastAsia"/>
          <w:b/>
          <w:szCs w:val="21"/>
        </w:rPr>
      </w:pPr>
    </w:p>
    <w:p>
      <w:pPr>
        <w:widowControl/>
        <w:topLinePunct/>
        <w:autoSpaceDE w:val="0"/>
        <w:adjustRightInd w:val="0"/>
        <w:spacing w:line="360" w:lineRule="auto"/>
        <w:jc w:val="left"/>
        <w:rPr>
          <w:rFonts w:cs="宋体" w:asciiTheme="minorEastAsia" w:hAnsiTheme="minorEastAsia"/>
          <w:szCs w:val="21"/>
        </w:rPr>
      </w:pPr>
      <w:r>
        <w:rPr>
          <w:rFonts w:hint="eastAsia" w:cs="Times New Roman" w:asciiTheme="minorEastAsia" w:hAnsiTheme="minorEastAsia"/>
          <w:b/>
          <w:szCs w:val="21"/>
        </w:rPr>
        <w:t>三、</w:t>
      </w:r>
      <w:r>
        <w:rPr>
          <w:rFonts w:hint="eastAsia" w:cs="宋体" w:asciiTheme="minorEastAsia" w:hAnsiTheme="minorEastAsia"/>
          <w:szCs w:val="21"/>
        </w:rPr>
        <w:t>软件功能及性能</w:t>
      </w:r>
    </w:p>
    <w:tbl>
      <w:tblPr>
        <w:tblStyle w:val="18"/>
        <w:tblW w:w="88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363"/>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功能/性能</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lang w:bidi="ne-NP"/>
              </w:rPr>
            </w:pPr>
            <w:r>
              <w:rPr>
                <w:rFonts w:hint="eastAsia" w:cs="宋体" w:asciiTheme="minorEastAsia" w:hAnsiTheme="minorEastAsia"/>
                <w:kern w:val="0"/>
                <w:szCs w:val="21"/>
                <w:lang w:bidi="ne-NP"/>
              </w:rPr>
              <w:t>1</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lang w:bidi="ne-NP"/>
              </w:rPr>
            </w:pPr>
            <w:r>
              <w:rPr>
                <w:rFonts w:hint="eastAsia" w:cs="宋体" w:asciiTheme="minorEastAsia" w:hAnsiTheme="minorEastAsia"/>
                <w:kern w:val="0"/>
                <w:szCs w:val="21"/>
              </w:rPr>
              <w:t>系统架构</w:t>
            </w:r>
          </w:p>
        </w:tc>
        <w:tc>
          <w:tcPr>
            <w:tcW w:w="5573" w:type="dxa"/>
            <w:tcBorders>
              <w:top w:val="single" w:color="auto" w:sz="4" w:space="0"/>
              <w:left w:val="single" w:color="auto" w:sz="4" w:space="0"/>
              <w:bottom w:val="single" w:color="auto" w:sz="4" w:space="0"/>
              <w:right w:val="single" w:color="auto" w:sz="4" w:space="0"/>
            </w:tcBorders>
            <w:vAlign w:val="bottom"/>
          </w:tcPr>
          <w:p>
            <w:pPr>
              <w:widowControl/>
              <w:spacing w:after="200" w:line="240" w:lineRule="auto"/>
              <w:contextualSpacing/>
              <w:jc w:val="left"/>
              <w:rPr>
                <w:rFonts w:cs="宋体" w:asciiTheme="minorEastAsia" w:hAnsiTheme="minorEastAsia"/>
                <w:kern w:val="0"/>
                <w:szCs w:val="21"/>
              </w:rPr>
            </w:pPr>
            <w:r>
              <w:rPr>
                <w:rFonts w:hint="eastAsia" w:cs="宋体" w:asciiTheme="minorEastAsia" w:hAnsiTheme="minorEastAsia"/>
                <w:kern w:val="0"/>
                <w:szCs w:val="21"/>
              </w:rPr>
              <w:t>采用</w:t>
            </w:r>
            <w:r>
              <w:rPr>
                <w:rFonts w:cs="宋体" w:asciiTheme="minorEastAsia" w:hAnsiTheme="minorEastAsia"/>
                <w:kern w:val="0"/>
                <w:szCs w:val="21"/>
              </w:rPr>
              <w:t>B/S</w:t>
            </w:r>
            <w:r>
              <w:rPr>
                <w:rFonts w:hint="eastAsia" w:cs="宋体" w:asciiTheme="minorEastAsia" w:hAnsiTheme="minorEastAsia"/>
                <w:kern w:val="0"/>
                <w:szCs w:val="21"/>
              </w:rPr>
              <w:t>，采用部署和配置，支持Internet Explorer 1</w:t>
            </w:r>
            <w:r>
              <w:rPr>
                <w:rFonts w:cs="宋体" w:asciiTheme="minorEastAsia" w:hAnsiTheme="minorEastAsia"/>
                <w:kern w:val="0"/>
                <w:szCs w:val="21"/>
              </w:rPr>
              <w:t>1</w:t>
            </w:r>
            <w:r>
              <w:rPr>
                <w:rFonts w:hint="eastAsia" w:cs="宋体" w:asciiTheme="minorEastAsia" w:hAnsiTheme="minorEastAsia"/>
                <w:kern w:val="0"/>
                <w:szCs w:val="21"/>
              </w:rPr>
              <w:t>及以上版本，Firefox 21及以上版本，Chrome 23及以上版本，Safari 6.1及以上版本。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应用界面</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主要包括患者医疗信息界面、个性化患者用药评估界面、报告预览界面、一键打印报告界面、定期回访患者界面等。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待测样本管理</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按今日及未来三日将待测患者样本分类管理。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血清药物浓度监测</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采集</w:t>
            </w:r>
            <w:r>
              <w:rPr>
                <w:rFonts w:cs="宋体" w:asciiTheme="minorEastAsia" w:hAnsiTheme="minorEastAsia"/>
                <w:kern w:val="0"/>
                <w:szCs w:val="21"/>
              </w:rPr>
              <w:t>监测</w:t>
            </w:r>
            <w:r>
              <w:rPr>
                <w:rFonts w:hint="eastAsia" w:cs="宋体" w:asciiTheme="minorEastAsia" w:hAnsiTheme="minorEastAsia"/>
                <w:kern w:val="0"/>
                <w:szCs w:val="21"/>
              </w:rPr>
              <w:t>的甲氨蝶呤</w:t>
            </w:r>
            <w:r>
              <w:rPr>
                <w:rFonts w:cs="宋体" w:asciiTheme="minorEastAsia" w:hAnsiTheme="minorEastAsia"/>
                <w:kern w:val="0"/>
                <w:szCs w:val="21"/>
              </w:rPr>
              <w:t>血</w:t>
            </w:r>
            <w:r>
              <w:rPr>
                <w:rFonts w:hint="eastAsia" w:cs="宋体" w:asciiTheme="minorEastAsia" w:hAnsiTheme="minorEastAsia"/>
                <w:kern w:val="0"/>
                <w:szCs w:val="21"/>
              </w:rPr>
              <w:t>清</w:t>
            </w:r>
            <w:r>
              <w:rPr>
                <w:rFonts w:cs="宋体" w:asciiTheme="minorEastAsia" w:hAnsiTheme="minorEastAsia"/>
                <w:kern w:val="0"/>
                <w:szCs w:val="21"/>
              </w:rPr>
              <w:t>药物浓度数值，包含治疗浓度、中毒浓度、峰浓度、谷浓度等细化指标。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5</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药师报告</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基于甲氨蝶呤的治疗药物浓度监测及个性化用药生成电子化评估报告，临床药师依据检测结果为临床提供准确及时的个体化用药报告，可对系统出具的用药建议进行调整；报告生成后可在医生工作站看告。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6</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血肌酐清除率计算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实现血肌酐清除率自动计算。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7</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药物曲线下面积计算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实现药物曲线下面积自动计算。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8</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Child</w:t>
            </w:r>
            <w:r>
              <w:rPr>
                <w:rFonts w:hint="eastAsia" w:cs="宋体" w:asciiTheme="minorEastAsia" w:hAnsiTheme="minorEastAsia"/>
                <w:kern w:val="0"/>
                <w:szCs w:val="21"/>
              </w:rPr>
              <w:t>评分计算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实现患者</w:t>
            </w:r>
            <w:r>
              <w:rPr>
                <w:rFonts w:cs="宋体" w:asciiTheme="minorEastAsia" w:hAnsiTheme="minorEastAsia"/>
                <w:kern w:val="0"/>
                <w:szCs w:val="21"/>
              </w:rPr>
              <w:t>Child</w:t>
            </w:r>
            <w:r>
              <w:rPr>
                <w:rFonts w:hint="eastAsia" w:cs="宋体" w:asciiTheme="minorEastAsia" w:hAnsiTheme="minorEastAsia"/>
                <w:kern w:val="0"/>
                <w:szCs w:val="21"/>
              </w:rPr>
              <w:t>评分自动计算。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9</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数据统计</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根据条件对已收录数据进行实时统计，并进行基础分析，包括相关病种数量、性别、年龄、病因、化验结果、检查结果、治疗方案、情况等</w:t>
            </w:r>
            <w:r>
              <w:rPr>
                <w:rFonts w:cs="宋体" w:asciiTheme="minorEastAsia" w:hAnsiTheme="minorEastAsia"/>
                <w:kern w:val="0"/>
                <w:szCs w:val="21"/>
              </w:rPr>
              <w:t>相关性指标</w:t>
            </w:r>
            <w:r>
              <w:rPr>
                <w:rFonts w:hint="eastAsia" w:cs="宋体" w:asciiTheme="minorEastAsia"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0</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药师提醒</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分权限提醒临床药师今日需要完成T</w:t>
            </w:r>
            <w:r>
              <w:rPr>
                <w:rFonts w:cs="宋体" w:asciiTheme="minorEastAsia" w:hAnsiTheme="minorEastAsia"/>
                <w:kern w:val="0"/>
                <w:szCs w:val="21"/>
              </w:rPr>
              <w:t>DM</w:t>
            </w:r>
            <w:r>
              <w:rPr>
                <w:rFonts w:hint="eastAsia" w:cs="宋体" w:asciiTheme="minorEastAsia" w:hAnsiTheme="minorEastAsia"/>
                <w:kern w:val="0"/>
                <w:szCs w:val="21"/>
              </w:rPr>
              <w:t>检测的数量，基于上次监测时间实现临床药师长期服药患者的复查提醒功能。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异常提醒</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分权限提醒临床药师关注有配伍禁忌用药的患者。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历史报告</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ind w:left="40"/>
              <w:jc w:val="left"/>
              <w:rPr>
                <w:rFonts w:cs="宋体" w:asciiTheme="minorEastAsia" w:hAnsiTheme="minorEastAsia"/>
                <w:kern w:val="0"/>
                <w:szCs w:val="21"/>
              </w:rPr>
            </w:pPr>
            <w:r>
              <w:rPr>
                <w:rFonts w:hint="eastAsia" w:cs="宋体" w:asciiTheme="minorEastAsia" w:hAnsiTheme="minorEastAsia"/>
                <w:kern w:val="0"/>
                <w:szCs w:val="21"/>
              </w:rPr>
              <w:t>实现按病种分类的历史监测数据。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13</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智能病例学习</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针对既往脱敏后真实病例进行病例学习且生成互动式问答及评分。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4</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40"/>
              <w:jc w:val="center"/>
              <w:rPr>
                <w:rFonts w:cs="宋体" w:asciiTheme="minorEastAsia" w:hAnsiTheme="minorEastAsia"/>
                <w:color w:val="000000"/>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甲氨蝶呤临床评估规则库</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集成关于甲氨蝶呤药物浓度相关中英文医学文献、</w:t>
            </w:r>
            <w:r>
              <w:rPr>
                <w:rFonts w:cs="宋体" w:asciiTheme="minorEastAsia" w:hAnsiTheme="minorEastAsia"/>
                <w:kern w:val="0"/>
                <w:szCs w:val="21"/>
              </w:rPr>
              <w:t xml:space="preserve"> </w:t>
            </w:r>
            <w:r>
              <w:rPr>
                <w:rFonts w:hint="eastAsia" w:cs="宋体" w:asciiTheme="minorEastAsia" w:hAnsiTheme="minorEastAsia"/>
                <w:kern w:val="0"/>
                <w:szCs w:val="21"/>
              </w:rPr>
              <w:t>最新版指南共识、</w:t>
            </w:r>
            <w:r>
              <w:rPr>
                <w:rFonts w:cs="宋体" w:asciiTheme="minorEastAsia" w:hAnsiTheme="minorEastAsia"/>
                <w:kern w:val="0"/>
                <w:szCs w:val="21"/>
              </w:rPr>
              <w:t>包含临床指南、专家解读和共识</w:t>
            </w:r>
            <w:r>
              <w:rPr>
                <w:rFonts w:hint="eastAsia" w:cs="宋体" w:asciiTheme="minorEastAsia" w:hAnsiTheme="minorEastAsia"/>
                <w:kern w:val="0"/>
                <w:szCs w:val="21"/>
              </w:rPr>
              <w:t>、药品说明书的临床评估规则知识库。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15</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color w:val="000000" w:themeColor="text1"/>
                <w:kern w:val="0"/>
                <w:szCs w:val="21"/>
              </w:rPr>
              <w:t>数据接口</w:t>
            </w:r>
          </w:p>
        </w:tc>
        <w:tc>
          <w:tcPr>
            <w:tcW w:w="5573" w:type="dxa"/>
            <w:tcBorders>
              <w:top w:val="single" w:color="auto" w:sz="4" w:space="0"/>
              <w:left w:val="single" w:color="auto" w:sz="4" w:space="0"/>
              <w:bottom w:val="single" w:color="auto" w:sz="4" w:space="0"/>
              <w:right w:val="single" w:color="auto" w:sz="4" w:space="0"/>
            </w:tcBorders>
            <w:vAlign w:val="bottom"/>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实现与</w:t>
            </w:r>
            <w:r>
              <w:rPr>
                <w:rFonts w:cs="宋体" w:asciiTheme="minorEastAsia" w:hAnsiTheme="minorEastAsia"/>
                <w:kern w:val="0"/>
                <w:szCs w:val="21"/>
              </w:rPr>
              <w:t>HIS、电子病历系统的数据接口（患者信息、住院信息、门诊信息、处方信息、医嘱信息、护理信息、检验信息、体征信息</w:t>
            </w:r>
            <w:r>
              <w:rPr>
                <w:rFonts w:hint="eastAsia" w:cs="宋体" w:asciiTheme="minorEastAsia" w:hAnsiTheme="minorEastAsia"/>
                <w:kern w:val="0"/>
                <w:szCs w:val="21"/>
              </w:rPr>
              <w:t>、用药时间、抽血时</w:t>
            </w:r>
            <w:r>
              <w:rPr>
                <w:rFonts w:cs="宋体" w:asciiTheme="minorEastAsia" w:hAnsiTheme="minorEastAsia"/>
                <w:kern w:val="0"/>
                <w:szCs w:val="21"/>
              </w:rPr>
              <w:t>等）</w:t>
            </w:r>
            <w:r>
              <w:rPr>
                <w:rFonts w:hint="eastAsia" w:cs="宋体" w:asciiTheme="minorEastAsia" w:hAnsiTheme="minorEastAsia"/>
                <w:kern w:val="0"/>
                <w:szCs w:val="21"/>
              </w:rPr>
              <w:t>，自动提取采集到的患者血液药物浓度相关指标。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color w:val="000000" w:themeColor="text1"/>
                <w:kern w:val="0"/>
                <w:szCs w:val="21"/>
              </w:rPr>
            </w:pPr>
            <w:r>
              <w:rPr>
                <w:rFonts w:cs="宋体" w:asciiTheme="minorEastAsia" w:hAnsiTheme="minorEastAsia"/>
                <w:color w:val="000000" w:themeColor="text1"/>
                <w:kern w:val="0"/>
                <w:szCs w:val="21"/>
              </w:rPr>
              <w:t>16</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color w:val="000000" w:themeColor="text1"/>
                <w:kern w:val="0"/>
                <w:szCs w:val="21"/>
              </w:rPr>
            </w:pPr>
            <w:r>
              <w:rPr>
                <w:rFonts w:hint="eastAsia" w:cs="宋体" w:asciiTheme="minorEastAsia" w:hAnsiTheme="minorEastAsia"/>
                <w:kern w:val="0"/>
                <w:szCs w:val="21"/>
              </w:rPr>
              <w:t>多用户管理</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cs="宋体" w:asciiTheme="minorEastAsia" w:hAnsiTheme="minorEastAsia"/>
                <w:kern w:val="0"/>
                <w:szCs w:val="21"/>
              </w:rPr>
              <w:t>支持用户创建、修改用户、删除用户等管理，可对用户角色进行自定义不同角色。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17</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性能要求</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系统支持用户并发数＞</w:t>
            </w:r>
            <w:r>
              <w:rPr>
                <w:rFonts w:cs="宋体" w:asciiTheme="minorEastAsia" w:hAnsiTheme="minorEastAsia"/>
                <w:kern w:val="0"/>
                <w:szCs w:val="21"/>
              </w:rPr>
              <w:t>10</w:t>
            </w:r>
            <w:r>
              <w:rPr>
                <w:rFonts w:hint="eastAsia" w:cs="宋体" w:asciiTheme="minorEastAsia" w:hAnsiTheme="minorEastAsia"/>
                <w:kern w:val="0"/>
                <w:szCs w:val="21"/>
              </w:rPr>
              <w:t>，客户端查询响应时间≤</w:t>
            </w:r>
            <w:r>
              <w:rPr>
                <w:rFonts w:cs="宋体" w:asciiTheme="minorEastAsia" w:hAnsiTheme="minorEastAsia"/>
                <w:kern w:val="0"/>
                <w:szCs w:val="21"/>
              </w:rPr>
              <w:t>3</w:t>
            </w:r>
            <w:bookmarkStart w:id="41" w:name="OLE_LINK205"/>
            <w:bookmarkStart w:id="42" w:name="OLE_LINK206"/>
            <w:r>
              <w:rPr>
                <w:rFonts w:cs="宋体" w:asciiTheme="minorEastAsia" w:hAnsiTheme="minorEastAsia"/>
                <w:kern w:val="0"/>
                <w:szCs w:val="21"/>
              </w:rPr>
              <w:t>s</w:t>
            </w:r>
            <w:bookmarkEnd w:id="41"/>
            <w:bookmarkEnd w:id="42"/>
            <w:r>
              <w:rPr>
                <w:rFonts w:hint="eastAsia" w:cs="宋体" w:asciiTheme="minorEastAsia" w:hAnsiTheme="minorEastAsia"/>
                <w:kern w:val="0"/>
                <w:szCs w:val="21"/>
              </w:rPr>
              <w:t>。</w:t>
            </w:r>
          </w:p>
        </w:tc>
      </w:tr>
    </w:tbl>
    <w:p>
      <w:pPr>
        <w:widowControl/>
        <w:topLinePunct/>
        <w:autoSpaceDE w:val="0"/>
        <w:adjustRightInd w:val="0"/>
        <w:spacing w:line="360" w:lineRule="auto"/>
        <w:jc w:val="left"/>
        <w:rPr>
          <w:rFonts w:cs="宋体" w:asciiTheme="minorEastAsia" w:hAnsiTheme="minorEastAsia"/>
          <w:szCs w:val="21"/>
        </w:rPr>
      </w:pPr>
      <w:r>
        <w:rPr>
          <w:rFonts w:hint="eastAsia" w:cs="宋体" w:asciiTheme="minorEastAsia" w:hAnsiTheme="minorEastAsia"/>
          <w:szCs w:val="21"/>
        </w:rPr>
        <w:t>四、硬件参数</w:t>
      </w:r>
    </w:p>
    <w:tbl>
      <w:tblPr>
        <w:tblStyle w:val="53"/>
        <w:tblW w:w="492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0"/>
        <w:gridCol w:w="2110"/>
        <w:gridCol w:w="57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2"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序号</w:t>
            </w:r>
          </w:p>
        </w:tc>
        <w:tc>
          <w:tcPr>
            <w:tcW w:w="1183"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硬件名称</w:t>
            </w:r>
          </w:p>
        </w:tc>
        <w:tc>
          <w:tcPr>
            <w:tcW w:w="3245"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具体要求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5" w:hRule="atLeast"/>
        </w:trPr>
        <w:tc>
          <w:tcPr>
            <w:tcW w:w="572" w:type="pct"/>
            <w:vAlign w:val="center"/>
          </w:tcPr>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bookmarkStart w:id="43" w:name="OLE_LINK130"/>
            <w:bookmarkStart w:id="44" w:name="OLE_LINK131"/>
            <w:r>
              <w:rPr>
                <w:rFonts w:cs="Times New Roman" w:asciiTheme="minorEastAsia" w:hAnsiTheme="minorEastAsia" w:eastAsiaTheme="minorEastAsia"/>
                <w:kern w:val="0"/>
                <w:sz w:val="21"/>
                <w:szCs w:val="21"/>
                <w:lang w:bidi="ne-NP"/>
              </w:rPr>
              <w:t>1</w:t>
            </w:r>
          </w:p>
        </w:tc>
        <w:tc>
          <w:tcPr>
            <w:tcW w:w="1183" w:type="pct"/>
            <w:vAlign w:val="center"/>
          </w:tcPr>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r>
              <w:rPr>
                <w:rFonts w:hint="eastAsia" w:cs="Times New Roman" w:asciiTheme="minorEastAsia" w:hAnsiTheme="minorEastAsia" w:eastAsiaTheme="minorEastAsia"/>
                <w:kern w:val="0"/>
                <w:sz w:val="21"/>
                <w:szCs w:val="21"/>
                <w:lang w:bidi="ne-NP"/>
              </w:rPr>
              <w:t>服务器</w:t>
            </w:r>
          </w:p>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r>
              <w:rPr>
                <w:rFonts w:hint="eastAsia" w:cs="Times New Roman" w:asciiTheme="minorEastAsia" w:hAnsiTheme="minorEastAsia" w:eastAsiaTheme="minorEastAsia"/>
                <w:kern w:val="0"/>
                <w:sz w:val="21"/>
                <w:szCs w:val="21"/>
                <w:lang w:bidi="ne-NP"/>
              </w:rPr>
              <w:t>（</w:t>
            </w:r>
            <w:r>
              <w:rPr>
                <w:rFonts w:cs="Times New Roman" w:asciiTheme="minorEastAsia" w:hAnsiTheme="minorEastAsia" w:eastAsiaTheme="minorEastAsia"/>
                <w:kern w:val="0"/>
                <w:sz w:val="21"/>
                <w:szCs w:val="21"/>
                <w:lang w:bidi="ne-NP"/>
              </w:rPr>
              <w:t>2</w:t>
            </w:r>
            <w:r>
              <w:rPr>
                <w:rFonts w:hint="eastAsia" w:cs="Times New Roman" w:asciiTheme="minorEastAsia" w:hAnsiTheme="minorEastAsia" w:eastAsiaTheme="minorEastAsia"/>
                <w:kern w:val="0"/>
                <w:sz w:val="21"/>
                <w:szCs w:val="21"/>
                <w:lang w:bidi="ne-NP"/>
              </w:rPr>
              <w:t>台）</w:t>
            </w:r>
          </w:p>
        </w:tc>
        <w:tc>
          <w:tcPr>
            <w:tcW w:w="3245" w:type="pct"/>
          </w:tcPr>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vCPU</w:t>
            </w:r>
            <w:r>
              <w:rPr>
                <w:rFonts w:cs="宋体" w:asciiTheme="minorEastAsia" w:hAnsiTheme="minorEastAsia" w:eastAsiaTheme="minorEastAsia"/>
                <w:kern w:val="0"/>
                <w:sz w:val="21"/>
                <w:szCs w:val="21"/>
                <w:lang w:val="es-AR" w:bidi="ne-NP"/>
              </w:rPr>
              <w:t>: 8</w:t>
            </w:r>
            <w:r>
              <w:rPr>
                <w:rFonts w:hint="eastAsia" w:cs="宋体" w:asciiTheme="minorEastAsia" w:hAnsiTheme="minorEastAsia" w:eastAsiaTheme="minorEastAsia"/>
                <w:kern w:val="0"/>
                <w:sz w:val="21"/>
                <w:szCs w:val="21"/>
                <w:lang w:val="es-AR" w:bidi="ne-NP"/>
              </w:rPr>
              <w:t>核，内存：6</w:t>
            </w:r>
            <w:r>
              <w:rPr>
                <w:rFonts w:cs="宋体" w:asciiTheme="minorEastAsia" w:hAnsiTheme="minorEastAsia" w:eastAsiaTheme="minorEastAsia"/>
                <w:kern w:val="0"/>
                <w:sz w:val="21"/>
                <w:szCs w:val="21"/>
                <w:lang w:val="es-AR" w:bidi="ne-NP"/>
              </w:rPr>
              <w:t>4G</w:t>
            </w:r>
            <w:r>
              <w:rPr>
                <w:rFonts w:hint="eastAsia" w:cs="宋体" w:asciiTheme="minorEastAsia" w:hAnsiTheme="minorEastAsia" w:eastAsiaTheme="minorEastAsia"/>
                <w:kern w:val="0"/>
                <w:sz w:val="21"/>
                <w:szCs w:val="21"/>
                <w:lang w:val="es-AR" w:bidi="ne-NP"/>
              </w:rPr>
              <w:t>，硬盘：2</w:t>
            </w:r>
            <w:r>
              <w:rPr>
                <w:rFonts w:cs="宋体" w:asciiTheme="minorEastAsia" w:hAnsiTheme="minorEastAsia" w:eastAsiaTheme="minorEastAsia"/>
                <w:kern w:val="0"/>
                <w:sz w:val="21"/>
                <w:szCs w:val="21"/>
                <w:lang w:val="es-AR" w:bidi="ne-NP"/>
              </w:rPr>
              <w:t>T</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操作系统：CentOS</w:t>
            </w:r>
            <w:r>
              <w:rPr>
                <w:rFonts w:cs="宋体" w:asciiTheme="minorEastAsia" w:hAnsiTheme="minorEastAsia" w:eastAsiaTheme="minorEastAsia"/>
                <w:kern w:val="0"/>
                <w:sz w:val="21"/>
                <w:szCs w:val="21"/>
                <w:lang w:val="es-AR" w:bidi="ne-NP"/>
              </w:rPr>
              <w:t xml:space="preserve"> 7.6</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GPU：英伟达1</w:t>
            </w:r>
            <w:r>
              <w:rPr>
                <w:rFonts w:cs="宋体" w:asciiTheme="minorEastAsia" w:hAnsiTheme="minorEastAsia" w:eastAsiaTheme="minorEastAsia"/>
                <w:kern w:val="0"/>
                <w:sz w:val="21"/>
                <w:szCs w:val="21"/>
                <w:lang w:val="es-AR" w:bidi="ne-NP"/>
              </w:rPr>
              <w:t>080Ti</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数据库：MySQL。</w:t>
            </w:r>
          </w:p>
        </w:tc>
      </w:tr>
      <w:bookmarkEnd w:id="43"/>
      <w:bookmarkEnd w:id="44"/>
    </w:tbl>
    <w:p/>
    <w:p>
      <w:pPr>
        <w:jc w:val="center"/>
        <w:rPr>
          <w:rFonts w:ascii="黑体" w:hAnsi="黑体" w:eastAsia="黑体" w:cs="Times New Roman"/>
          <w:kern w:val="0"/>
          <w:sz w:val="32"/>
          <w:szCs w:val="32"/>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28</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63</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73F12E83"/>
    <w:multiLevelType w:val="multilevel"/>
    <w:tmpl w:val="73F12E83"/>
    <w:lvl w:ilvl="0" w:tentative="0">
      <w:start w:val="1"/>
      <w:numFmt w:val="decimal"/>
      <w:lvlText w:val="%1."/>
      <w:lvlJc w:val="left"/>
      <w:pPr>
        <w:tabs>
          <w:tab w:val="left" w:pos="786"/>
        </w:tabs>
        <w:ind w:left="786"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255F"/>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372E"/>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01D3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670"/>
    <w:rsid w:val="00532B1E"/>
    <w:rsid w:val="00533850"/>
    <w:rsid w:val="00534859"/>
    <w:rsid w:val="005401BD"/>
    <w:rsid w:val="00551FC2"/>
    <w:rsid w:val="00554F2D"/>
    <w:rsid w:val="00560BBB"/>
    <w:rsid w:val="00563E2F"/>
    <w:rsid w:val="00564319"/>
    <w:rsid w:val="00564B59"/>
    <w:rsid w:val="00576044"/>
    <w:rsid w:val="00576112"/>
    <w:rsid w:val="00577DD4"/>
    <w:rsid w:val="00585142"/>
    <w:rsid w:val="00592C5C"/>
    <w:rsid w:val="005A24EB"/>
    <w:rsid w:val="005A29A0"/>
    <w:rsid w:val="005B13C9"/>
    <w:rsid w:val="005B382F"/>
    <w:rsid w:val="005B5235"/>
    <w:rsid w:val="005C50D9"/>
    <w:rsid w:val="005C5539"/>
    <w:rsid w:val="005D1458"/>
    <w:rsid w:val="005D5EDA"/>
    <w:rsid w:val="005E2274"/>
    <w:rsid w:val="005E37C6"/>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00C8"/>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73396"/>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6E30"/>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1E3"/>
    <w:rsid w:val="00C834FA"/>
    <w:rsid w:val="00C840DC"/>
    <w:rsid w:val="00C84595"/>
    <w:rsid w:val="00C8795F"/>
    <w:rsid w:val="00C929CC"/>
    <w:rsid w:val="00CB02C8"/>
    <w:rsid w:val="00CB1178"/>
    <w:rsid w:val="00CB37F9"/>
    <w:rsid w:val="00CC0E4A"/>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3103"/>
    <w:rsid w:val="00FF5ABB"/>
    <w:rsid w:val="00FF768E"/>
    <w:rsid w:val="03DE18F6"/>
    <w:rsid w:val="0ACD6A91"/>
    <w:rsid w:val="1CC21325"/>
    <w:rsid w:val="1FDD13CE"/>
    <w:rsid w:val="29621AF1"/>
    <w:rsid w:val="351168C1"/>
    <w:rsid w:val="42494CA0"/>
    <w:rsid w:val="59E049CF"/>
    <w:rsid w:val="632742B6"/>
    <w:rsid w:val="6B232D04"/>
    <w:rsid w:val="6CF5658D"/>
    <w:rsid w:val="78B358C1"/>
    <w:rsid w:val="7C193281"/>
    <w:rsid w:val="7CB5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qFormat/>
    <w:uiPriority w:val="0"/>
    <w:pPr>
      <w:jc w:val="center"/>
    </w:pPr>
    <w:rPr>
      <w:rFonts w:ascii="Times New Roman" w:hAnsi="Times New Roman" w:eastAsia="宋体" w:cs="Times New Roman"/>
      <w:kern w:val="0"/>
      <w:szCs w:val="24"/>
    </w:rPr>
  </w:style>
  <w:style w:type="paragraph" w:styleId="1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5"/>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character" w:customStyle="1" w:styleId="47">
    <w:name w:val="HTML 预设格式 Char"/>
    <w:basedOn w:val="20"/>
    <w:link w:val="16"/>
    <w:qFormat/>
    <w:uiPriority w:val="0"/>
    <w:rPr>
      <w:rFonts w:ascii="黑体" w:hAnsi="Courier New" w:eastAsia="黑体" w:cs="Times New Roman"/>
      <w:kern w:val="0"/>
      <w:sz w:val="20"/>
      <w:szCs w:val="20"/>
    </w:rPr>
  </w:style>
  <w:style w:type="character" w:customStyle="1" w:styleId="48">
    <w:name w:val="日期 Char"/>
    <w:basedOn w:val="20"/>
    <w:link w:val="9"/>
    <w:semiHidden/>
    <w:qFormat/>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64"/>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2">
    <w:name w:val="网格型68"/>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3">
    <w:name w:val="网格型7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B94DA-ABE4-48DE-80CD-FEC97D0555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4664</Words>
  <Characters>26585</Characters>
  <Lines>221</Lines>
  <Paragraphs>62</Paragraphs>
  <TotalTime>0</TotalTime>
  <ScaleCrop>false</ScaleCrop>
  <LinksUpToDate>false</LinksUpToDate>
  <CharactersWithSpaces>31187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2020-07-28T03:09:00Z</cp:lastPrinted>
  <dcterms:modified xsi:type="dcterms:W3CDTF">2020-11-05T07:25:17Z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