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240" w:lineRule="atLeast"/>
        <w:jc w:val="center"/>
        <w:rPr>
          <w:rFonts w:cs="Times New Roman"/>
          <w:bCs/>
          <w:kern w:val="0"/>
          <w:sz w:val="44"/>
          <w:szCs w:val="44"/>
        </w:rPr>
      </w:pPr>
      <w:r>
        <w:rPr>
          <w:rFonts w:hint="eastAsia" w:hAnsi="宋体" w:cs="Times New Roman"/>
          <w:bCs/>
          <w:kern w:val="0"/>
          <w:sz w:val="44"/>
          <w:szCs w:val="44"/>
        </w:rPr>
        <w:t>中央监护站</w:t>
      </w:r>
      <w:r>
        <w:rPr>
          <w:rFonts w:hint="eastAsia" w:ascii="宋体" w:hAnsi="宋体" w:cs="宋体"/>
          <w:bCs/>
          <w:kern w:val="0"/>
          <w:sz w:val="44"/>
          <w:szCs w:val="44"/>
        </w:rPr>
        <w:t>技术参数</w:t>
      </w:r>
    </w:p>
    <w:tbl>
      <w:tblPr>
        <w:tblStyle w:val="18"/>
        <w:tblW w:w="9305" w:type="dxa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43"/>
        <w:gridCol w:w="3969"/>
        <w:gridCol w:w="2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设备使用需求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设备用途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</w:rPr>
              <w:t>用于对患者各项生命体征进行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>监测</w:t>
            </w:r>
            <w:r>
              <w:rPr>
                <w:rFonts w:cs="Times New Roman" w:eastAsiaTheme="minorEastAsia"/>
                <w:sz w:val="18"/>
                <w:szCs w:val="18"/>
              </w:rPr>
              <w:t>，监测数据可以显示、存储、回顾和打印；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1.2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color w:val="000000"/>
                <w:kern w:val="0"/>
              </w:rPr>
            </w:pPr>
            <w:r>
              <w:rPr>
                <w:rFonts w:cs="Times New Roman" w:eastAsiaTheme="minorEastAsia"/>
                <w:color w:val="000000"/>
                <w:kern w:val="0"/>
              </w:rPr>
              <w:t>实验对象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</w:rPr>
              <w:t>需进行生命体征监测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>的</w:t>
            </w:r>
            <w:r>
              <w:rPr>
                <w:rFonts w:cs="Times New Roman" w:eastAsiaTheme="minorEastAsia"/>
                <w:sz w:val="18"/>
                <w:szCs w:val="18"/>
              </w:rPr>
              <w:t>患者；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bCs/>
                <w:kern w:val="0"/>
              </w:rPr>
              <w:t>1.3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color w:val="000000"/>
                <w:kern w:val="0"/>
              </w:rPr>
            </w:pPr>
            <w:r>
              <w:rPr>
                <w:rFonts w:cs="Times New Roman" w:eastAsiaTheme="minorEastAsia"/>
                <w:bCs/>
                <w:kern w:val="0"/>
              </w:rPr>
              <w:t>特殊功能需求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</w:rPr>
              <w:t>无；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主要技术参数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（一行只写一个参数）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ascii="Segoe UI Symbol" w:hAnsi="Segoe UI Symbol" w:cs="Segoe UI Symbol" w:eastAsiaTheme="minorEastAsia"/>
                <w:kern w:val="0"/>
              </w:rPr>
              <w:t>★</w:t>
            </w:r>
            <w:r>
              <w:rPr>
                <w:rFonts w:cs="Times New Roman" w:eastAsiaTheme="minorEastAsia"/>
                <w:kern w:val="0"/>
              </w:rPr>
              <w:t>参数1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contextualSpacing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中心监护系统支持有线、无线、遥测多元化的组网方式，中心监护网络中支持≥1200台床旁设备互连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eastAsia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ascii="Segoe UI Symbol" w:hAnsi="Segoe UI Symbol" w:cs="Segoe UI Symbol" w:eastAsiaTheme="minorEastAsia"/>
                <w:kern w:val="0"/>
              </w:rPr>
              <w:t>★</w:t>
            </w:r>
            <w:r>
              <w:rPr>
                <w:rFonts w:cs="Times New Roman" w:eastAsiaTheme="minorEastAsia"/>
                <w:kern w:val="0"/>
              </w:rPr>
              <w:t>参数2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中心监护系统支持中央站, 工作站, 浏览站, 远程</w:t>
            </w:r>
            <w:r>
              <w:rPr>
                <w:rFonts w:cs="Times New Roman" w:eastAsiaTheme="minorEastAsia"/>
                <w:sz w:val="18"/>
                <w:szCs w:val="18"/>
              </w:rPr>
              <w:t>查询系统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>等多种产品形态互连，工作站支持远程集中监护中央站上接收的病人，</w:t>
            </w:r>
            <w:r>
              <w:rPr>
                <w:rFonts w:cs="Times New Roman" w:eastAsiaTheme="minorEastAsia"/>
                <w:sz w:val="18"/>
                <w:szCs w:val="18"/>
              </w:rPr>
              <w:t>并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>提供不同控制权限的设置，满足不同临床场景下的部署要求</w:t>
            </w:r>
            <w:r>
              <w:rPr>
                <w:rFonts w:cs="Times New Roman" w:eastAsiaTheme="minorEastAsia"/>
                <w:sz w:val="18"/>
                <w:szCs w:val="18"/>
              </w:rPr>
              <w:t>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ascii="Segoe UI Symbol" w:hAnsi="Segoe UI Symbol" w:cs="Segoe UI Symbol" w:eastAsiaTheme="minorEastAsia"/>
                <w:kern w:val="0"/>
              </w:rPr>
              <w:t>★</w:t>
            </w:r>
            <w:r>
              <w:rPr>
                <w:rFonts w:cs="Times New Roman" w:eastAsiaTheme="minorEastAsia"/>
                <w:kern w:val="0"/>
              </w:rPr>
              <w:t>参数3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中央站提供其他产品形态访问中央站的权限设置，且提供单个床位是否允许外部进行访问的设置</w:t>
            </w:r>
            <w:r>
              <w:rPr>
                <w:rFonts w:cs="Times New Roman" w:eastAsiaTheme="minorEastAsia"/>
                <w:sz w:val="18"/>
                <w:szCs w:val="18"/>
              </w:rPr>
              <w:t>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中心监护系统可支持参数监测ECG， ST, QT/QTc， RESP，SPO2， PR， TEMP，</w:t>
            </w:r>
            <w:r>
              <w:rPr>
                <w:rFonts w:cs="Times New Roman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 xml:space="preserve">NIBP， IBP， </w:t>
            </w:r>
            <w:r>
              <w:rPr>
                <w:rFonts w:cs="Times New Roman" w:eastAsiaTheme="minorEastAsia"/>
                <w:sz w:val="18"/>
                <w:szCs w:val="18"/>
              </w:rPr>
              <w:t>C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>.</w:t>
            </w:r>
            <w:r>
              <w:rPr>
                <w:rFonts w:cs="Times New Roman" w:eastAsiaTheme="minorEastAsia"/>
                <w:sz w:val="18"/>
                <w:szCs w:val="18"/>
              </w:rPr>
              <w:t>O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>.，CCO， ScvO2，ICG，BIS，RM，CO2，</w:t>
            </w:r>
            <w:r>
              <w:rPr>
                <w:rFonts w:cs="Times New Roman" w:eastAsiaTheme="minorEastAsia"/>
                <w:sz w:val="18"/>
                <w:szCs w:val="18"/>
              </w:rPr>
              <w:t>AG</w:t>
            </w:r>
            <w:r>
              <w:rPr>
                <w:rFonts w:hint="eastAsia" w:cs="Times New Roman" w:eastAsiaTheme="minorEastAsia"/>
                <w:sz w:val="18"/>
                <w:szCs w:val="18"/>
              </w:rPr>
              <w:t>，EEG，NMT，rSO2，TcGas</w:t>
            </w:r>
            <w:r>
              <w:rPr>
                <w:rFonts w:cs="Times New Roman" w:eastAsiaTheme="minorEastAsia"/>
                <w:sz w:val="18"/>
                <w:szCs w:val="18"/>
              </w:rPr>
              <w:t>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可同时集中监护≥64个病人， 单个屏幕可支持≥16个病人的同时集中监护，支持≥4个显示屏显示</w:t>
            </w:r>
            <w:r>
              <w:rPr>
                <w:rFonts w:cs="Times New Roman" w:eastAsiaTheme="minorEastAsia"/>
                <w:sz w:val="18"/>
                <w:szCs w:val="18"/>
              </w:rPr>
              <w:t>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重点观察床支持多导心电、呼吸氧合图、动态短趋势、NIBP LIST等多种视图显示，适用不同科室的观察习惯；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支持≥240小时长趋势回顾和≥4小时短趋势回顾，≥240小时全息波形回顾，≥720条报警事件回顾，≥720条12导分析报告回顾，≥240小时的ST片段回顾，≥720条C.O. 测量结果回顾，≥100条呼吸氧合事件回顾</w:t>
            </w:r>
            <w:r>
              <w:rPr>
                <w:rFonts w:cs="Times New Roman" w:eastAsiaTheme="minorEastAsia"/>
                <w:sz w:val="18"/>
                <w:szCs w:val="18"/>
              </w:rPr>
              <w:t>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中心监护系统支持Window 7中、英文操作系统；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中心监护系统支持19寸以上液晶屏幕显示，1280×1024高分辨率彩色液晶显示；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参数10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多床观察时每床支持5个参数、4道波形的观察，支持大字体显示；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参数11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多床支持床标识显示，可用来区分护理组、病人组等；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  <w:kern w:val="0"/>
              </w:rPr>
              <w:t>参数12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contextualSpacing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支持至少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75</w:t>
            </w: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条药物计算结果回顾，至少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条血液动力学计算结果回顾，至少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条氧合计算结果回顾，至少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条通气计算结果回顾，至少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条肾功能计算结果回顾；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  <w:r>
              <w:rPr>
                <w:rFonts w:cs="Times New Roman" w:eastAsia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参数13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contextualSpacing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支持报警报告、波形报告、趋势报告、ARR统计报告、24h动态血压报告等；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参数14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ind w:firstLine="0" w:firstLineChars="0"/>
              <w:contextualSpacing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可远程控制对床旁监护仪进行病人信息设置，解除病人，进行standby；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参数15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支持远程控制床旁监护仪报警暂停、报警复位，设置报警开关、报警级别、报警上下限等；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  <w:r>
              <w:rPr>
                <w:rFonts w:cs="Times New Roman" w:eastAsia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  <w:kern w:val="0"/>
              </w:rPr>
              <w:t>参数16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支持远程控制床旁监护仪启动NIBP测量，设置NIBP测量模式和时间间隔；</w:t>
            </w:r>
          </w:p>
          <w:p>
            <w:pPr>
              <w:pStyle w:val="23"/>
              <w:ind w:firstLine="0" w:firstLineChars="0"/>
              <w:contextualSpacing/>
              <w:rPr>
                <w:rFonts w:ascii="Times New Roman" w:hAnsi="Times New Roman" w:eastAsiaTheme="minorEastAsia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  <w:kern w:val="0"/>
              </w:rPr>
              <w:t>参数17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widowControl/>
              <w:ind w:firstLine="0" w:firstLineChars="0"/>
              <w:contextualSpacing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支持远程控制床旁监护仪进入隐私、夜间模式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  <w:kern w:val="0"/>
              </w:rPr>
              <w:t>参数18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cs="Times New Roman" w:eastAsiaTheme="minorEastAsia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sz w:val="18"/>
                <w:szCs w:val="18"/>
              </w:rPr>
              <w:t>提供声、光、文字多重报警提醒功能，提供高、中、低三级报警。具有报警自动记录或打印功能。保存报警时刻前后32秒的波形；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41" w:firstLineChars="100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配置需求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（一行只写一个配置）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3.1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配置1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eastAsiaTheme="minorEastAsia"/>
                <w:kern w:val="0"/>
                <w:sz w:val="18"/>
                <w:szCs w:val="18"/>
              </w:rPr>
              <w:t>中央站</w:t>
            </w:r>
            <w:r>
              <w:rPr>
                <w:rFonts w:cs="Times New Roman" w:eastAsiaTheme="minorEastAsia"/>
                <w:kern w:val="0"/>
                <w:sz w:val="18"/>
                <w:szCs w:val="18"/>
              </w:rPr>
              <w:t>主机</w:t>
            </w:r>
            <w:r>
              <w:rPr>
                <w:rFonts w:hint="eastAsia" w:cs="Times New Roman" w:eastAsiaTheme="minorEastAsia"/>
                <w:kern w:val="0"/>
                <w:sz w:val="18"/>
                <w:szCs w:val="18"/>
              </w:rPr>
              <w:t>，</w:t>
            </w:r>
            <w:r>
              <w:rPr>
                <w:rFonts w:cs="Times New Roman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Times New Roman" w:eastAsiaTheme="minor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3.2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配置2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line="276" w:lineRule="auto"/>
              <w:ind w:firstLine="0" w:firstLineChars="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中央站软件，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配置3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line="276" w:lineRule="auto"/>
              <w:ind w:firstLine="0" w:firstLineChars="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中央站显示器，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hint="eastAsia" w:cs="Times New Roman" w:eastAsiaTheme="minorEastAsia"/>
                <w:kern w:val="0"/>
              </w:rPr>
              <w:t>3</w:t>
            </w:r>
            <w:r>
              <w:rPr>
                <w:rFonts w:cs="Times New Roman" w:eastAsiaTheme="minorEastAsia"/>
                <w:kern w:val="0"/>
              </w:rPr>
              <w:t>.4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hint="eastAsia" w:cs="Times New Roman" w:eastAsiaTheme="minorEastAsia"/>
                <w:kern w:val="0"/>
              </w:rPr>
              <w:t>配置4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spacing w:line="276" w:lineRule="auto"/>
              <w:ind w:firstLine="0" w:firstLineChars="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中央站附件，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售后服务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保修年限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≥3年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出现故障回应时间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维修到达现场时间≤ 12小时（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市内</w:t>
            </w: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）</w:t>
            </w: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维修到达现场时间≤24小时（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市外</w:t>
            </w: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维修支持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配件供应时间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不限时间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耗材及零配件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提供耗材及主要零配件目录（含报价）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维修资料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维修工具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提供维修专用工具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清单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预防性维修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/定期维护保养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保修期内提供定期维护保养服务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≥1次/年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维修密码支持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开放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升级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终身免费软件升级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使用培训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支持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工程师培训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支持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</w:tbl>
    <w:p>
      <w:pPr>
        <w:spacing w:line="520" w:lineRule="exact"/>
        <w:jc w:val="left"/>
        <w:rPr>
          <w:rFonts w:cs="Times New Roman" w:asciiTheme="majorEastAsia" w:hAnsiTheme="majorEastAsia" w:eastAsiaTheme="maj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BC4"/>
    <w:multiLevelType w:val="multilevel"/>
    <w:tmpl w:val="007E1BC4"/>
    <w:lvl w:ilvl="0" w:tentative="0">
      <w:start w:val="1"/>
      <w:numFmt w:val="decimal"/>
      <w:pStyle w:val="2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25B5"/>
    <w:rsid w:val="00054325"/>
    <w:rsid w:val="00092DFE"/>
    <w:rsid w:val="000C76D2"/>
    <w:rsid w:val="000E3819"/>
    <w:rsid w:val="001002D8"/>
    <w:rsid w:val="00121D58"/>
    <w:rsid w:val="00121D8B"/>
    <w:rsid w:val="001B6550"/>
    <w:rsid w:val="00272CAA"/>
    <w:rsid w:val="002A5EAB"/>
    <w:rsid w:val="002D7624"/>
    <w:rsid w:val="00315101"/>
    <w:rsid w:val="00335172"/>
    <w:rsid w:val="003464C4"/>
    <w:rsid w:val="0043040F"/>
    <w:rsid w:val="00443A0C"/>
    <w:rsid w:val="0045015C"/>
    <w:rsid w:val="0049035A"/>
    <w:rsid w:val="004A471D"/>
    <w:rsid w:val="004C583D"/>
    <w:rsid w:val="004E2C30"/>
    <w:rsid w:val="00502B82"/>
    <w:rsid w:val="0050327D"/>
    <w:rsid w:val="00506BA0"/>
    <w:rsid w:val="00547BA6"/>
    <w:rsid w:val="00575AFE"/>
    <w:rsid w:val="00591C95"/>
    <w:rsid w:val="00607FDF"/>
    <w:rsid w:val="006226EF"/>
    <w:rsid w:val="00683650"/>
    <w:rsid w:val="00684B15"/>
    <w:rsid w:val="006A5308"/>
    <w:rsid w:val="006E09F1"/>
    <w:rsid w:val="006E1BBB"/>
    <w:rsid w:val="00722727"/>
    <w:rsid w:val="00745008"/>
    <w:rsid w:val="00784DA0"/>
    <w:rsid w:val="00793BE3"/>
    <w:rsid w:val="007D1102"/>
    <w:rsid w:val="008D6A7A"/>
    <w:rsid w:val="008F16C7"/>
    <w:rsid w:val="009266FC"/>
    <w:rsid w:val="00937C2A"/>
    <w:rsid w:val="00943CF3"/>
    <w:rsid w:val="00996239"/>
    <w:rsid w:val="00A709A4"/>
    <w:rsid w:val="00A75514"/>
    <w:rsid w:val="00A77867"/>
    <w:rsid w:val="00B50550"/>
    <w:rsid w:val="00B7411A"/>
    <w:rsid w:val="00BB5B81"/>
    <w:rsid w:val="00BE10BD"/>
    <w:rsid w:val="00C303C7"/>
    <w:rsid w:val="00C425B5"/>
    <w:rsid w:val="00C942A9"/>
    <w:rsid w:val="00CE4B4F"/>
    <w:rsid w:val="00CE71F6"/>
    <w:rsid w:val="00D30681"/>
    <w:rsid w:val="00D3102C"/>
    <w:rsid w:val="00D43A86"/>
    <w:rsid w:val="00D55DA2"/>
    <w:rsid w:val="00DF1CB7"/>
    <w:rsid w:val="00E0174C"/>
    <w:rsid w:val="00E2067C"/>
    <w:rsid w:val="00E46388"/>
    <w:rsid w:val="00E87D11"/>
    <w:rsid w:val="00EB636D"/>
    <w:rsid w:val="00EC2C28"/>
    <w:rsid w:val="00EC59A3"/>
    <w:rsid w:val="00EE256D"/>
    <w:rsid w:val="00F028C4"/>
    <w:rsid w:val="00F2317D"/>
    <w:rsid w:val="00FA7646"/>
    <w:rsid w:val="1B997ECF"/>
    <w:rsid w:val="24AE4782"/>
    <w:rsid w:val="2B236BB7"/>
    <w:rsid w:val="2F2B33A1"/>
    <w:rsid w:val="2F471C72"/>
    <w:rsid w:val="2F4A1681"/>
    <w:rsid w:val="3149634A"/>
    <w:rsid w:val="3647670B"/>
    <w:rsid w:val="393D49F5"/>
    <w:rsid w:val="42253E7A"/>
    <w:rsid w:val="428A7B2F"/>
    <w:rsid w:val="47483DAD"/>
    <w:rsid w:val="47BE1233"/>
    <w:rsid w:val="488E2A45"/>
    <w:rsid w:val="4B284490"/>
    <w:rsid w:val="54104954"/>
    <w:rsid w:val="6D6C0ED4"/>
    <w:rsid w:val="6FC24BC4"/>
    <w:rsid w:val="72A008E7"/>
    <w:rsid w:val="779A2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28"/>
    <w:qFormat/>
    <w:uiPriority w:val="0"/>
    <w:pPr>
      <w:keepNext/>
      <w:keepLines/>
      <w:pageBreakBefore/>
      <w:numPr>
        <w:ilvl w:val="0"/>
        <w:numId w:val="1"/>
      </w:numPr>
      <w:spacing w:before="240" w:after="120" w:line="240" w:lineRule="auto"/>
      <w:jc w:val="center"/>
      <w:outlineLvl w:val="0"/>
    </w:pPr>
    <w:rPr>
      <w:rFonts w:cs="Times New Roman"/>
      <w:b/>
      <w:bCs/>
      <w:kern w:val="44"/>
      <w:sz w:val="36"/>
      <w:szCs w:val="44"/>
    </w:rPr>
  </w:style>
  <w:style w:type="paragraph" w:styleId="4">
    <w:name w:val="heading 2"/>
    <w:basedOn w:val="1"/>
    <w:next w:val="3"/>
    <w:link w:val="29"/>
    <w:qFormat/>
    <w:uiPriority w:val="0"/>
    <w:pPr>
      <w:keepNext/>
      <w:keepLines/>
      <w:numPr>
        <w:ilvl w:val="1"/>
        <w:numId w:val="1"/>
      </w:numPr>
      <w:tabs>
        <w:tab w:val="left" w:pos="525"/>
      </w:tabs>
      <w:spacing w:before="60" w:line="240" w:lineRule="auto"/>
      <w:outlineLvl w:val="1"/>
    </w:pPr>
    <w:rPr>
      <w:rFonts w:cs="Times New Roman"/>
      <w:b/>
      <w:bCs/>
      <w:sz w:val="32"/>
      <w:szCs w:val="32"/>
    </w:rPr>
  </w:style>
  <w:style w:type="paragraph" w:styleId="5">
    <w:name w:val="heading 3"/>
    <w:basedOn w:val="1"/>
    <w:next w:val="3"/>
    <w:link w:val="30"/>
    <w:qFormat/>
    <w:uiPriority w:val="0"/>
    <w:pPr>
      <w:keepNext/>
      <w:keepLines/>
      <w:numPr>
        <w:ilvl w:val="2"/>
        <w:numId w:val="1"/>
      </w:numPr>
      <w:spacing w:before="60" w:line="240" w:lineRule="auto"/>
      <w:outlineLvl w:val="2"/>
    </w:pPr>
    <w:rPr>
      <w:rFonts w:cs="Times New Roman"/>
      <w:b/>
      <w:bCs/>
      <w:sz w:val="28"/>
      <w:szCs w:val="32"/>
    </w:rPr>
  </w:style>
  <w:style w:type="paragraph" w:styleId="6">
    <w:name w:val="heading 4"/>
    <w:basedOn w:val="1"/>
    <w:next w:val="3"/>
    <w:link w:val="31"/>
    <w:qFormat/>
    <w:uiPriority w:val="0"/>
    <w:pPr>
      <w:keepNext/>
      <w:keepLines/>
      <w:numPr>
        <w:ilvl w:val="3"/>
        <w:numId w:val="1"/>
      </w:numPr>
      <w:tabs>
        <w:tab w:val="left" w:pos="840"/>
      </w:tabs>
      <w:spacing w:before="60" w:line="240" w:lineRule="auto"/>
      <w:outlineLvl w:val="3"/>
    </w:pPr>
    <w:rPr>
      <w:rFonts w:cs="Times New Roman"/>
      <w:b/>
      <w:bCs/>
      <w:szCs w:val="28"/>
    </w:rPr>
  </w:style>
  <w:style w:type="paragraph" w:styleId="7">
    <w:name w:val="heading 5"/>
    <w:basedOn w:val="1"/>
    <w:next w:val="3"/>
    <w:link w:val="32"/>
    <w:qFormat/>
    <w:uiPriority w:val="0"/>
    <w:pPr>
      <w:keepNext/>
      <w:keepLines/>
      <w:numPr>
        <w:ilvl w:val="4"/>
        <w:numId w:val="1"/>
      </w:numPr>
      <w:tabs>
        <w:tab w:val="left" w:pos="945"/>
      </w:tabs>
      <w:spacing w:before="60" w:line="240" w:lineRule="auto"/>
      <w:outlineLvl w:val="4"/>
    </w:pPr>
    <w:rPr>
      <w:rFonts w:cs="Times New Roman"/>
      <w:b/>
      <w:bCs/>
      <w:sz w:val="21"/>
      <w:szCs w:val="28"/>
    </w:rPr>
  </w:style>
  <w:style w:type="paragraph" w:styleId="8">
    <w:name w:val="heading 6"/>
    <w:basedOn w:val="1"/>
    <w:next w:val="3"/>
    <w:link w:val="33"/>
    <w:qFormat/>
    <w:uiPriority w:val="0"/>
    <w:pPr>
      <w:numPr>
        <w:ilvl w:val="5"/>
        <w:numId w:val="1"/>
      </w:numPr>
      <w:spacing w:before="60" w:line="240" w:lineRule="auto"/>
      <w:outlineLvl w:val="5"/>
    </w:pPr>
    <w:rPr>
      <w:rFonts w:cs="Times New Roman"/>
      <w:b/>
      <w:bCs/>
      <w:sz w:val="21"/>
    </w:rPr>
  </w:style>
  <w:style w:type="paragraph" w:styleId="9">
    <w:name w:val="heading 7"/>
    <w:basedOn w:val="1"/>
    <w:next w:val="3"/>
    <w:link w:val="34"/>
    <w:qFormat/>
    <w:uiPriority w:val="0"/>
    <w:pPr>
      <w:numPr>
        <w:ilvl w:val="6"/>
        <w:numId w:val="1"/>
      </w:numPr>
      <w:spacing w:before="60" w:line="240" w:lineRule="auto"/>
      <w:outlineLvl w:val="6"/>
    </w:pPr>
    <w:rPr>
      <w:rFonts w:cs="Times New Roman"/>
      <w:b/>
      <w:bCs/>
      <w:sz w:val="21"/>
    </w:rPr>
  </w:style>
  <w:style w:type="paragraph" w:styleId="10">
    <w:name w:val="heading 8"/>
    <w:basedOn w:val="1"/>
    <w:next w:val="3"/>
    <w:link w:val="35"/>
    <w:qFormat/>
    <w:uiPriority w:val="0"/>
    <w:pPr>
      <w:numPr>
        <w:ilvl w:val="7"/>
        <w:numId w:val="1"/>
      </w:numPr>
      <w:spacing w:before="60" w:line="240" w:lineRule="auto"/>
      <w:outlineLvl w:val="7"/>
    </w:pPr>
    <w:rPr>
      <w:rFonts w:cs="Times New Roman"/>
      <w:b/>
      <w:sz w:val="21"/>
    </w:rPr>
  </w:style>
  <w:style w:type="paragraph" w:styleId="11">
    <w:name w:val="heading 9"/>
    <w:basedOn w:val="1"/>
    <w:next w:val="3"/>
    <w:link w:val="36"/>
    <w:qFormat/>
    <w:uiPriority w:val="0"/>
    <w:pPr>
      <w:numPr>
        <w:ilvl w:val="8"/>
        <w:numId w:val="1"/>
      </w:numPr>
      <w:spacing w:before="60" w:line="240" w:lineRule="auto"/>
      <w:outlineLvl w:val="8"/>
    </w:pPr>
    <w:rPr>
      <w:rFonts w:cs="Times New Roman"/>
      <w:b/>
      <w:sz w:val="21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12">
    <w:name w:val="annotation text"/>
    <w:basedOn w:val="1"/>
    <w:link w:val="26"/>
    <w:semiHidden/>
    <w:uiPriority w:val="0"/>
    <w:pPr>
      <w:spacing w:line="240" w:lineRule="auto"/>
      <w:jc w:val="left"/>
    </w:pPr>
    <w:rPr>
      <w:rFonts w:cs="Times New Roman"/>
      <w:sz w:val="21"/>
    </w:rPr>
  </w:style>
  <w:style w:type="paragraph" w:styleId="13">
    <w:name w:val="Balloon Text"/>
    <w:basedOn w:val="1"/>
    <w:link w:val="2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宋体"/>
      <w:sz w:val="18"/>
      <w:szCs w:val="18"/>
    </w:rPr>
  </w:style>
  <w:style w:type="paragraph" w:styleId="15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宋体"/>
      <w:sz w:val="18"/>
      <w:szCs w:val="18"/>
    </w:rPr>
  </w:style>
  <w:style w:type="paragraph" w:styleId="1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</w:rPr>
  </w:style>
  <w:style w:type="paragraph" w:styleId="17">
    <w:name w:val="Normal (Web)"/>
    <w:basedOn w:val="1"/>
    <w:qFormat/>
    <w:uiPriority w:val="99"/>
  </w:style>
  <w:style w:type="character" w:styleId="20">
    <w:name w:val="annotation reference"/>
    <w:basedOn w:val="19"/>
    <w:semiHidden/>
    <w:uiPriority w:val="0"/>
    <w:rPr>
      <w:sz w:val="21"/>
      <w:szCs w:val="21"/>
    </w:rPr>
  </w:style>
  <w:style w:type="character" w:customStyle="1" w:styleId="21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22">
    <w:name w:val="页脚 字符"/>
    <w:basedOn w:val="19"/>
    <w:link w:val="14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z w:val="21"/>
      <w:szCs w:val="22"/>
    </w:rPr>
  </w:style>
  <w:style w:type="paragraph" w:customStyle="1" w:styleId="24">
    <w:name w:val="msolist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Char Char1 Char Char Char Char"/>
    <w:basedOn w:val="1"/>
    <w:qFormat/>
    <w:uiPriority w:val="0"/>
    <w:pPr>
      <w:spacing w:line="240" w:lineRule="auto"/>
    </w:pPr>
    <w:rPr>
      <w:rFonts w:cs="Times New Roman"/>
      <w:sz w:val="21"/>
      <w:szCs w:val="20"/>
    </w:rPr>
  </w:style>
  <w:style w:type="character" w:customStyle="1" w:styleId="26">
    <w:name w:val="批注文字 字符"/>
    <w:basedOn w:val="19"/>
    <w:link w:val="12"/>
    <w:semiHidden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27">
    <w:name w:val="批注框文本 字符"/>
    <w:basedOn w:val="19"/>
    <w:link w:val="1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标题 1 字符"/>
    <w:basedOn w:val="19"/>
    <w:link w:val="2"/>
    <w:uiPriority w:val="0"/>
    <w:rPr>
      <w:rFonts w:ascii="Times New Roman" w:hAnsi="Times New Roman" w:cs="Times New Roman"/>
      <w:b/>
      <w:bCs/>
      <w:kern w:val="44"/>
      <w:sz w:val="36"/>
      <w:szCs w:val="44"/>
    </w:rPr>
  </w:style>
  <w:style w:type="character" w:customStyle="1" w:styleId="29">
    <w:name w:val="标题 2 字符"/>
    <w:basedOn w:val="19"/>
    <w:link w:val="4"/>
    <w:qFormat/>
    <w:uiPriority w:val="0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19"/>
    <w:link w:val="5"/>
    <w:uiPriority w:val="0"/>
    <w:rPr>
      <w:rFonts w:ascii="Times New Roman" w:hAnsi="Times New Roman" w:cs="Times New Roman"/>
      <w:b/>
      <w:bCs/>
      <w:kern w:val="2"/>
      <w:sz w:val="28"/>
      <w:szCs w:val="32"/>
    </w:rPr>
  </w:style>
  <w:style w:type="character" w:customStyle="1" w:styleId="31">
    <w:name w:val="标题 4 字符"/>
    <w:basedOn w:val="19"/>
    <w:link w:val="6"/>
    <w:uiPriority w:val="0"/>
    <w:rPr>
      <w:rFonts w:ascii="Times New Roman" w:hAnsi="Times New Roman" w:cs="Times New Roman"/>
      <w:b/>
      <w:bCs/>
      <w:kern w:val="2"/>
      <w:sz w:val="24"/>
      <w:szCs w:val="28"/>
    </w:rPr>
  </w:style>
  <w:style w:type="character" w:customStyle="1" w:styleId="32">
    <w:name w:val="标题 5 字符"/>
    <w:basedOn w:val="19"/>
    <w:link w:val="7"/>
    <w:qFormat/>
    <w:uiPriority w:val="0"/>
    <w:rPr>
      <w:rFonts w:ascii="Times New Roman" w:hAnsi="Times New Roman" w:cs="Times New Roman"/>
      <w:b/>
      <w:bCs/>
      <w:kern w:val="2"/>
      <w:sz w:val="21"/>
      <w:szCs w:val="28"/>
    </w:rPr>
  </w:style>
  <w:style w:type="character" w:customStyle="1" w:styleId="33">
    <w:name w:val="标题 6 字符"/>
    <w:basedOn w:val="19"/>
    <w:link w:val="8"/>
    <w:qFormat/>
    <w:uiPriority w:val="0"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34">
    <w:name w:val="标题 7 字符"/>
    <w:basedOn w:val="19"/>
    <w:link w:val="9"/>
    <w:qFormat/>
    <w:uiPriority w:val="0"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35">
    <w:name w:val="标题 8 字符"/>
    <w:basedOn w:val="19"/>
    <w:link w:val="10"/>
    <w:uiPriority w:val="0"/>
    <w:rPr>
      <w:rFonts w:ascii="Times New Roman" w:hAnsi="Times New Roman" w:cs="Times New Roman"/>
      <w:b/>
      <w:kern w:val="2"/>
      <w:sz w:val="21"/>
      <w:szCs w:val="24"/>
    </w:rPr>
  </w:style>
  <w:style w:type="character" w:customStyle="1" w:styleId="36">
    <w:name w:val="标题 9 字符"/>
    <w:basedOn w:val="19"/>
    <w:link w:val="11"/>
    <w:qFormat/>
    <w:uiPriority w:val="0"/>
    <w:rPr>
      <w:rFonts w:ascii="Times New Roman" w:hAnsi="Times New Roman" w:cs="Times New Roman"/>
      <w:b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276</Words>
  <Characters>1576</Characters>
  <Lines>13</Lines>
  <Paragraphs>3</Paragraphs>
  <TotalTime>133</TotalTime>
  <ScaleCrop>false</ScaleCrop>
  <LinksUpToDate>false</LinksUpToDate>
  <CharactersWithSpaces>1849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2019-10-12T05:19:00Z</dcterms:created>
  <dc:creator>AutoBVT</dc:creator>
  <cp:lastModifiedBy>Administrator</cp:lastModifiedBy>
  <cp:lastPrinted>2019-10-21T02:04:00Z</cp:lastPrinted>
  <dcterms:modified xsi:type="dcterms:W3CDTF">2020-11-16T01:30:52Z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